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44"/>
          <w:szCs w:val="44"/>
        </w:rPr>
      </w:pPr>
    </w:p>
    <w:p>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南京信息工程大学文园23幢新建学生公寓智能化建设工程</w:t>
      </w:r>
    </w:p>
    <w:p>
      <w:pPr>
        <w:jc w:val="center"/>
        <w:rPr>
          <w:rFonts w:asciiTheme="majorEastAsia" w:hAnsiTheme="majorEastAsia" w:eastAsiaTheme="majorEastAsia"/>
          <w:b/>
          <w:sz w:val="48"/>
          <w:szCs w:val="48"/>
        </w:rPr>
      </w:pPr>
    </w:p>
    <w:p>
      <w:pPr>
        <w:jc w:val="center"/>
        <w:rPr>
          <w:rFonts w:asciiTheme="majorEastAsia" w:hAnsiTheme="majorEastAsia" w:eastAsiaTheme="majorEastAsia"/>
          <w:b/>
          <w:sz w:val="48"/>
          <w:szCs w:val="48"/>
        </w:rPr>
      </w:pPr>
    </w:p>
    <w:p>
      <w:pPr>
        <w:jc w:val="center"/>
        <w:rPr>
          <w:rFonts w:asciiTheme="majorEastAsia" w:hAnsiTheme="majorEastAsia" w:eastAsiaTheme="majorEastAsia"/>
          <w:b/>
          <w:sz w:val="48"/>
          <w:szCs w:val="48"/>
        </w:rPr>
      </w:pPr>
    </w:p>
    <w:p>
      <w:pPr>
        <w:jc w:val="center"/>
        <w:rPr>
          <w:rFonts w:asciiTheme="majorEastAsia" w:hAnsiTheme="majorEastAsia" w:eastAsiaTheme="majorEastAsia"/>
          <w:b/>
          <w:sz w:val="48"/>
          <w:szCs w:val="48"/>
        </w:rPr>
      </w:pPr>
      <w:r>
        <w:rPr>
          <w:rFonts w:hint="eastAsia" w:asciiTheme="majorEastAsia" w:hAnsiTheme="majorEastAsia" w:eastAsiaTheme="majorEastAsia"/>
          <w:b/>
          <w:sz w:val="48"/>
          <w:szCs w:val="48"/>
        </w:rPr>
        <w:t>项</w:t>
      </w:r>
    </w:p>
    <w:p>
      <w:pPr>
        <w:jc w:val="center"/>
        <w:rPr>
          <w:rFonts w:asciiTheme="majorEastAsia" w:hAnsiTheme="majorEastAsia" w:eastAsiaTheme="majorEastAsia"/>
          <w:b/>
          <w:sz w:val="48"/>
          <w:szCs w:val="48"/>
        </w:rPr>
      </w:pPr>
    </w:p>
    <w:p>
      <w:pPr>
        <w:jc w:val="center"/>
        <w:rPr>
          <w:rFonts w:asciiTheme="majorEastAsia" w:hAnsiTheme="majorEastAsia" w:eastAsiaTheme="majorEastAsia"/>
          <w:b/>
          <w:sz w:val="48"/>
          <w:szCs w:val="48"/>
        </w:rPr>
      </w:pPr>
      <w:r>
        <w:rPr>
          <w:rFonts w:hint="eastAsia" w:asciiTheme="majorEastAsia" w:hAnsiTheme="majorEastAsia" w:eastAsiaTheme="majorEastAsia"/>
          <w:b/>
          <w:sz w:val="48"/>
          <w:szCs w:val="48"/>
        </w:rPr>
        <w:t>目</w:t>
      </w:r>
    </w:p>
    <w:p>
      <w:pPr>
        <w:jc w:val="center"/>
        <w:rPr>
          <w:rFonts w:asciiTheme="majorEastAsia" w:hAnsiTheme="majorEastAsia" w:eastAsiaTheme="majorEastAsia"/>
          <w:b/>
          <w:sz w:val="48"/>
          <w:szCs w:val="48"/>
        </w:rPr>
      </w:pPr>
    </w:p>
    <w:p>
      <w:pPr>
        <w:jc w:val="center"/>
        <w:rPr>
          <w:rFonts w:asciiTheme="majorEastAsia" w:hAnsiTheme="majorEastAsia" w:eastAsiaTheme="majorEastAsia"/>
          <w:b/>
          <w:sz w:val="48"/>
          <w:szCs w:val="48"/>
        </w:rPr>
      </w:pPr>
      <w:r>
        <w:rPr>
          <w:rFonts w:hint="eastAsia" w:asciiTheme="majorEastAsia" w:hAnsiTheme="majorEastAsia" w:eastAsiaTheme="majorEastAsia"/>
          <w:b/>
          <w:sz w:val="48"/>
          <w:szCs w:val="48"/>
        </w:rPr>
        <w:t>方</w:t>
      </w:r>
    </w:p>
    <w:p>
      <w:pPr>
        <w:jc w:val="center"/>
        <w:rPr>
          <w:rFonts w:asciiTheme="majorEastAsia" w:hAnsiTheme="majorEastAsia" w:eastAsiaTheme="majorEastAsia"/>
          <w:b/>
          <w:sz w:val="48"/>
          <w:szCs w:val="48"/>
        </w:rPr>
      </w:pPr>
    </w:p>
    <w:p>
      <w:pPr>
        <w:jc w:val="center"/>
        <w:rPr>
          <w:rFonts w:asciiTheme="majorEastAsia" w:hAnsiTheme="majorEastAsia" w:eastAsiaTheme="majorEastAsia"/>
          <w:b/>
          <w:sz w:val="48"/>
          <w:szCs w:val="48"/>
        </w:rPr>
      </w:pPr>
      <w:r>
        <w:rPr>
          <w:rFonts w:hint="eastAsia" w:asciiTheme="majorEastAsia" w:hAnsiTheme="majorEastAsia" w:eastAsiaTheme="majorEastAsia"/>
          <w:b/>
          <w:sz w:val="48"/>
          <w:szCs w:val="48"/>
        </w:rPr>
        <w:t>案</w:t>
      </w:r>
    </w:p>
    <w:p>
      <w:pPr>
        <w:jc w:val="center"/>
        <w:rPr>
          <w:rFonts w:asciiTheme="majorEastAsia" w:hAnsiTheme="majorEastAsia" w:eastAsiaTheme="majorEastAsia"/>
          <w:b/>
          <w:sz w:val="48"/>
          <w:szCs w:val="48"/>
        </w:rPr>
      </w:pPr>
    </w:p>
    <w:p>
      <w:pPr>
        <w:jc w:val="center"/>
        <w:rPr>
          <w:rFonts w:asciiTheme="majorEastAsia" w:hAnsiTheme="majorEastAsia" w:eastAsiaTheme="majorEastAsia"/>
          <w:b/>
          <w:sz w:val="48"/>
          <w:szCs w:val="48"/>
        </w:rPr>
      </w:pPr>
      <w:r>
        <w:rPr>
          <w:rFonts w:asciiTheme="majorEastAsia" w:hAnsiTheme="majorEastAsia" w:eastAsiaTheme="majorEastAsia"/>
          <w:b/>
          <w:sz w:val="48"/>
          <w:szCs w:val="48"/>
        </w:rPr>
        <w:t>书</w:t>
      </w:r>
    </w:p>
    <w:p>
      <w:pPr>
        <w:spacing w:line="360" w:lineRule="auto"/>
        <w:jc w:val="left"/>
        <w:rPr>
          <w:rFonts w:ascii="Arial" w:hAnsi="Arial" w:eastAsia="黑体"/>
          <w:kern w:val="0"/>
          <w:sz w:val="20"/>
        </w:rPr>
      </w:pPr>
    </w:p>
    <w:p>
      <w:pPr>
        <w:jc w:val="center"/>
        <w:rPr>
          <w:rFonts w:asciiTheme="minorEastAsia" w:hAnsiTheme="minorEastAsia"/>
          <w:b/>
          <w:sz w:val="44"/>
          <w:szCs w:val="44"/>
        </w:rPr>
      </w:pPr>
    </w:p>
    <w:p>
      <w:pPr>
        <w:jc w:val="center"/>
        <w:rPr>
          <w:rFonts w:asciiTheme="minorEastAsia" w:hAnsiTheme="minorEastAsia"/>
          <w:b/>
          <w:sz w:val="44"/>
          <w:szCs w:val="44"/>
        </w:rPr>
      </w:pPr>
    </w:p>
    <w:p>
      <w:pPr>
        <w:rPr>
          <w:rFonts w:asciiTheme="minorEastAsia" w:hAnsiTheme="minorEastAsia"/>
          <w:b/>
          <w:sz w:val="44"/>
          <w:szCs w:val="44"/>
        </w:rPr>
      </w:pPr>
    </w:p>
    <w:p>
      <w:pPr>
        <w:jc w:val="center"/>
      </w:pPr>
      <w:r>
        <w:rPr>
          <w:rFonts w:asciiTheme="minorEastAsia" w:hAnsiTheme="minorEastAsia"/>
          <w:b/>
          <w:sz w:val="32"/>
          <w:szCs w:val="32"/>
        </w:rPr>
        <w:t>2020</w:t>
      </w:r>
      <w:r>
        <w:rPr>
          <w:rFonts w:hint="eastAsia" w:asciiTheme="minorEastAsia" w:hAnsiTheme="minorEastAsia"/>
          <w:b/>
          <w:sz w:val="32"/>
          <w:szCs w:val="32"/>
        </w:rPr>
        <w:t>年7月</w:t>
      </w:r>
    </w:p>
    <w:p>
      <w:pPr>
        <w:jc w:val="center"/>
      </w:pPr>
    </w:p>
    <w:p>
      <w:pPr>
        <w:jc w:val="center"/>
      </w:pPr>
    </w:p>
    <w:p>
      <w:pPr>
        <w:jc w:val="center"/>
      </w:pPr>
    </w:p>
    <w:p>
      <w:pPr>
        <w:jc w:val="center"/>
      </w:pPr>
    </w:p>
    <w:sdt>
      <w:sdtPr>
        <w:rPr>
          <w:rFonts w:asciiTheme="minorHAnsi" w:hAnsiTheme="minorHAnsi" w:eastAsiaTheme="minorEastAsia" w:cstheme="minorBidi"/>
          <w:b w:val="0"/>
          <w:bCs w:val="0"/>
          <w:color w:val="auto"/>
          <w:kern w:val="2"/>
          <w:sz w:val="21"/>
          <w:szCs w:val="22"/>
          <w:lang w:val="zh-CN"/>
        </w:rPr>
        <w:id w:val="503703438"/>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pPr>
            <w:pStyle w:val="24"/>
            <w:jc w:val="center"/>
          </w:pPr>
          <w:r>
            <w:rPr>
              <w:lang w:val="zh-CN"/>
            </w:rPr>
            <w:t>目录</w:t>
          </w:r>
        </w:p>
        <w:p>
          <w:pPr>
            <w:pStyle w:val="10"/>
            <w:spacing w:line="480" w:lineRule="auto"/>
          </w:pPr>
          <w:r>
            <w:fldChar w:fldCharType="begin"/>
          </w:r>
          <w:r>
            <w:instrText xml:space="preserve"> TOC \o "1-3" \h \z \u </w:instrText>
          </w:r>
          <w:r>
            <w:fldChar w:fldCharType="separate"/>
          </w:r>
          <w:r>
            <w:fldChar w:fldCharType="begin"/>
          </w:r>
          <w:r>
            <w:instrText xml:space="preserve"> HYPERLINK \l "_Toc45607921" </w:instrText>
          </w:r>
          <w:r>
            <w:fldChar w:fldCharType="separate"/>
          </w:r>
          <w:r>
            <w:rPr>
              <w:rStyle w:val="14"/>
              <w:rFonts w:hint="eastAsia"/>
            </w:rPr>
            <w:t>一、项目概况</w:t>
          </w:r>
          <w:r>
            <w:tab/>
          </w:r>
          <w:r>
            <w:fldChar w:fldCharType="begin"/>
          </w:r>
          <w:r>
            <w:instrText xml:space="preserve"> PAGEREF _Toc45607921 \h </w:instrText>
          </w:r>
          <w:r>
            <w:fldChar w:fldCharType="separate"/>
          </w:r>
          <w:r>
            <w:t>3</w:t>
          </w:r>
          <w:r>
            <w:fldChar w:fldCharType="end"/>
          </w:r>
          <w:r>
            <w:fldChar w:fldCharType="end"/>
          </w:r>
        </w:p>
        <w:p>
          <w:pPr>
            <w:pStyle w:val="11"/>
            <w:tabs>
              <w:tab w:val="right" w:leader="dot" w:pos="8296"/>
            </w:tabs>
            <w:spacing w:line="480" w:lineRule="auto"/>
          </w:pPr>
          <w:r>
            <w:fldChar w:fldCharType="begin"/>
          </w:r>
          <w:r>
            <w:instrText xml:space="preserve"> HYPERLINK \l "_Toc45607922" </w:instrText>
          </w:r>
          <w:r>
            <w:fldChar w:fldCharType="separate"/>
          </w:r>
          <w:r>
            <w:rPr>
              <w:rStyle w:val="14"/>
            </w:rPr>
            <w:t>1.1</w:t>
          </w:r>
          <w:r>
            <w:rPr>
              <w:rStyle w:val="14"/>
              <w:rFonts w:hint="eastAsia"/>
            </w:rPr>
            <w:t>前言</w:t>
          </w:r>
          <w:r>
            <w:tab/>
          </w:r>
          <w:r>
            <w:fldChar w:fldCharType="begin"/>
          </w:r>
          <w:r>
            <w:instrText xml:space="preserve"> PAGEREF _Toc45607922 \h </w:instrText>
          </w:r>
          <w:r>
            <w:fldChar w:fldCharType="separate"/>
          </w:r>
          <w:r>
            <w:t>3</w:t>
          </w:r>
          <w:r>
            <w:fldChar w:fldCharType="end"/>
          </w:r>
          <w:r>
            <w:fldChar w:fldCharType="end"/>
          </w:r>
        </w:p>
        <w:p>
          <w:pPr>
            <w:pStyle w:val="11"/>
            <w:tabs>
              <w:tab w:val="right" w:leader="dot" w:pos="8296"/>
            </w:tabs>
            <w:spacing w:line="480" w:lineRule="auto"/>
          </w:pPr>
          <w:r>
            <w:fldChar w:fldCharType="begin"/>
          </w:r>
          <w:r>
            <w:instrText xml:space="preserve"> HYPERLINK \l "_Toc45607923" </w:instrText>
          </w:r>
          <w:r>
            <w:fldChar w:fldCharType="separate"/>
          </w:r>
          <w:r>
            <w:rPr>
              <w:rStyle w:val="14"/>
            </w:rPr>
            <w:t>1.2</w:t>
          </w:r>
          <w:r>
            <w:rPr>
              <w:rStyle w:val="14"/>
              <w:rFonts w:hint="eastAsia"/>
            </w:rPr>
            <w:t>建设内容</w:t>
          </w:r>
          <w:r>
            <w:tab/>
          </w:r>
          <w:r>
            <w:fldChar w:fldCharType="begin"/>
          </w:r>
          <w:r>
            <w:instrText xml:space="preserve"> PAGEREF _Toc45607923 \h </w:instrText>
          </w:r>
          <w:r>
            <w:fldChar w:fldCharType="separate"/>
          </w:r>
          <w:r>
            <w:t>3</w:t>
          </w:r>
          <w:r>
            <w:fldChar w:fldCharType="end"/>
          </w:r>
          <w:r>
            <w:fldChar w:fldCharType="end"/>
          </w:r>
        </w:p>
        <w:p>
          <w:pPr>
            <w:pStyle w:val="11"/>
            <w:tabs>
              <w:tab w:val="right" w:leader="dot" w:pos="8296"/>
            </w:tabs>
            <w:spacing w:line="480" w:lineRule="auto"/>
          </w:pPr>
          <w:r>
            <w:fldChar w:fldCharType="begin"/>
          </w:r>
          <w:r>
            <w:instrText xml:space="preserve"> HYPERLINK \l "_Toc45607924" </w:instrText>
          </w:r>
          <w:r>
            <w:fldChar w:fldCharType="separate"/>
          </w:r>
          <w:r>
            <w:rPr>
              <w:rStyle w:val="14"/>
            </w:rPr>
            <w:t>1.3</w:t>
          </w:r>
          <w:r>
            <w:rPr>
              <w:rStyle w:val="14"/>
              <w:rFonts w:hint="eastAsia"/>
            </w:rPr>
            <w:t>设计规范</w:t>
          </w:r>
          <w:r>
            <w:tab/>
          </w:r>
          <w:r>
            <w:fldChar w:fldCharType="begin"/>
          </w:r>
          <w:r>
            <w:instrText xml:space="preserve"> PAGEREF _Toc45607924 \h </w:instrText>
          </w:r>
          <w:r>
            <w:fldChar w:fldCharType="separate"/>
          </w:r>
          <w:r>
            <w:t>3</w:t>
          </w:r>
          <w:r>
            <w:fldChar w:fldCharType="end"/>
          </w:r>
          <w:r>
            <w:fldChar w:fldCharType="end"/>
          </w:r>
        </w:p>
        <w:p>
          <w:pPr>
            <w:pStyle w:val="11"/>
            <w:tabs>
              <w:tab w:val="right" w:leader="dot" w:pos="8296"/>
            </w:tabs>
            <w:spacing w:line="480" w:lineRule="auto"/>
          </w:pPr>
          <w:r>
            <w:fldChar w:fldCharType="begin"/>
          </w:r>
          <w:r>
            <w:instrText xml:space="preserve"> HYPERLINK \l "_Toc45607925" </w:instrText>
          </w:r>
          <w:r>
            <w:fldChar w:fldCharType="separate"/>
          </w:r>
          <w:r>
            <w:rPr>
              <w:rStyle w:val="14"/>
            </w:rPr>
            <w:t>1.4</w:t>
          </w:r>
          <w:r>
            <w:rPr>
              <w:rStyle w:val="14"/>
              <w:rFonts w:hint="eastAsia"/>
            </w:rPr>
            <w:t>信息点分布</w:t>
          </w:r>
          <w:r>
            <w:tab/>
          </w:r>
          <w:r>
            <w:fldChar w:fldCharType="begin"/>
          </w:r>
          <w:r>
            <w:instrText xml:space="preserve"> PAGEREF _Toc45607925 \h </w:instrText>
          </w:r>
          <w:r>
            <w:fldChar w:fldCharType="separate"/>
          </w:r>
          <w:r>
            <w:t>4</w:t>
          </w:r>
          <w:r>
            <w:fldChar w:fldCharType="end"/>
          </w:r>
          <w:r>
            <w:fldChar w:fldCharType="end"/>
          </w:r>
        </w:p>
        <w:p>
          <w:pPr>
            <w:pStyle w:val="11"/>
            <w:tabs>
              <w:tab w:val="right" w:leader="dot" w:pos="8296"/>
            </w:tabs>
            <w:spacing w:line="480" w:lineRule="auto"/>
          </w:pPr>
          <w:r>
            <w:fldChar w:fldCharType="begin"/>
          </w:r>
          <w:r>
            <w:instrText xml:space="preserve"> HYPERLINK \l "_Toc45607926" </w:instrText>
          </w:r>
          <w:r>
            <w:fldChar w:fldCharType="separate"/>
          </w:r>
          <w:r>
            <w:rPr>
              <w:rStyle w:val="14"/>
            </w:rPr>
            <w:t>1.5</w:t>
          </w:r>
          <w:r>
            <w:rPr>
              <w:rStyle w:val="14"/>
              <w:rFonts w:hint="eastAsia"/>
            </w:rPr>
            <w:t>监控点分布</w:t>
          </w:r>
          <w:r>
            <w:tab/>
          </w:r>
          <w:r>
            <w:fldChar w:fldCharType="begin"/>
          </w:r>
          <w:r>
            <w:instrText xml:space="preserve"> PAGEREF _Toc45607926 \h </w:instrText>
          </w:r>
          <w:r>
            <w:fldChar w:fldCharType="separate"/>
          </w:r>
          <w:r>
            <w:t>7</w:t>
          </w:r>
          <w:r>
            <w:fldChar w:fldCharType="end"/>
          </w:r>
          <w:r>
            <w:fldChar w:fldCharType="end"/>
          </w:r>
        </w:p>
        <w:p>
          <w:pPr>
            <w:pStyle w:val="11"/>
            <w:tabs>
              <w:tab w:val="right" w:leader="dot" w:pos="8296"/>
            </w:tabs>
            <w:spacing w:line="480" w:lineRule="auto"/>
          </w:pPr>
          <w:r>
            <w:fldChar w:fldCharType="begin"/>
          </w:r>
          <w:r>
            <w:instrText xml:space="preserve"> HYPERLINK \l "_Toc45607927" </w:instrText>
          </w:r>
          <w:r>
            <w:fldChar w:fldCharType="separate"/>
          </w:r>
          <w:r>
            <w:rPr>
              <w:rStyle w:val="14"/>
            </w:rPr>
            <w:t>1.6</w:t>
          </w:r>
          <w:r>
            <w:rPr>
              <w:rStyle w:val="14"/>
              <w:rFonts w:hint="eastAsia"/>
            </w:rPr>
            <w:t>光纤布线分布</w:t>
          </w:r>
          <w:r>
            <w:tab/>
          </w:r>
          <w:r>
            <w:fldChar w:fldCharType="begin"/>
          </w:r>
          <w:r>
            <w:instrText xml:space="preserve"> PAGEREF _Toc45607927 \h </w:instrText>
          </w:r>
          <w:r>
            <w:fldChar w:fldCharType="separate"/>
          </w:r>
          <w:r>
            <w:t>8</w:t>
          </w:r>
          <w:r>
            <w:fldChar w:fldCharType="end"/>
          </w:r>
          <w:r>
            <w:fldChar w:fldCharType="end"/>
          </w:r>
        </w:p>
        <w:p>
          <w:pPr>
            <w:pStyle w:val="10"/>
            <w:spacing w:line="480" w:lineRule="auto"/>
          </w:pPr>
          <w:r>
            <w:fldChar w:fldCharType="begin"/>
          </w:r>
          <w:r>
            <w:instrText xml:space="preserve"> HYPERLINK \l "_Toc45607928" </w:instrText>
          </w:r>
          <w:r>
            <w:fldChar w:fldCharType="separate"/>
          </w:r>
          <w:r>
            <w:rPr>
              <w:rStyle w:val="14"/>
              <w:rFonts w:hint="eastAsia"/>
            </w:rPr>
            <w:t>二、主要设备技术要求</w:t>
          </w:r>
          <w:r>
            <w:tab/>
          </w:r>
          <w:r>
            <w:fldChar w:fldCharType="begin"/>
          </w:r>
          <w:r>
            <w:instrText xml:space="preserve"> PAGEREF _Toc45607928 \h </w:instrText>
          </w:r>
          <w:r>
            <w:fldChar w:fldCharType="separate"/>
          </w:r>
          <w:r>
            <w:t>9</w:t>
          </w:r>
          <w:r>
            <w:fldChar w:fldCharType="end"/>
          </w:r>
          <w:r>
            <w:fldChar w:fldCharType="end"/>
          </w:r>
        </w:p>
        <w:p>
          <w:pPr>
            <w:pStyle w:val="11"/>
            <w:tabs>
              <w:tab w:val="right" w:leader="dot" w:pos="8296"/>
            </w:tabs>
            <w:spacing w:line="480" w:lineRule="auto"/>
          </w:pPr>
          <w:r>
            <w:fldChar w:fldCharType="begin"/>
          </w:r>
          <w:r>
            <w:instrText xml:space="preserve"> HYPERLINK \l "_Toc45607929" </w:instrText>
          </w:r>
          <w:r>
            <w:fldChar w:fldCharType="separate"/>
          </w:r>
          <w:r>
            <w:rPr>
              <w:rStyle w:val="14"/>
            </w:rPr>
            <w:t>2.1</w:t>
          </w:r>
          <w:r>
            <w:rPr>
              <w:rStyle w:val="14"/>
              <w:rFonts w:hint="eastAsia"/>
            </w:rPr>
            <w:t>监控系统技术要求</w:t>
          </w:r>
          <w:r>
            <w:tab/>
          </w:r>
          <w:r>
            <w:fldChar w:fldCharType="begin"/>
          </w:r>
          <w:r>
            <w:instrText xml:space="preserve"> PAGEREF _Toc45607929 \h </w:instrText>
          </w:r>
          <w:r>
            <w:fldChar w:fldCharType="separate"/>
          </w:r>
          <w:r>
            <w:t>9</w:t>
          </w:r>
          <w:r>
            <w:fldChar w:fldCharType="end"/>
          </w:r>
          <w:r>
            <w:fldChar w:fldCharType="end"/>
          </w:r>
        </w:p>
        <w:p>
          <w:pPr>
            <w:pStyle w:val="11"/>
            <w:tabs>
              <w:tab w:val="right" w:leader="dot" w:pos="8296"/>
            </w:tabs>
            <w:spacing w:line="480" w:lineRule="auto"/>
          </w:pPr>
          <w:r>
            <w:fldChar w:fldCharType="begin"/>
          </w:r>
          <w:r>
            <w:instrText xml:space="preserve"> HYPERLINK \l "_Toc45607930" </w:instrText>
          </w:r>
          <w:r>
            <w:fldChar w:fldCharType="separate"/>
          </w:r>
          <w:r>
            <w:rPr>
              <w:rStyle w:val="14"/>
            </w:rPr>
            <w:t>2.2</w:t>
          </w:r>
          <w:r>
            <w:rPr>
              <w:rStyle w:val="14"/>
              <w:rFonts w:hint="eastAsia"/>
            </w:rPr>
            <w:t>综合布线技术要求</w:t>
          </w:r>
          <w:r>
            <w:tab/>
          </w:r>
          <w:r>
            <w:fldChar w:fldCharType="begin"/>
          </w:r>
          <w:r>
            <w:instrText xml:space="preserve"> PAGEREF _Toc45607930 \h </w:instrText>
          </w:r>
          <w:r>
            <w:fldChar w:fldCharType="separate"/>
          </w:r>
          <w:r>
            <w:t>11</w:t>
          </w:r>
          <w:r>
            <w:fldChar w:fldCharType="end"/>
          </w:r>
          <w:r>
            <w:fldChar w:fldCharType="end"/>
          </w:r>
        </w:p>
        <w:p>
          <w:pPr>
            <w:pStyle w:val="11"/>
            <w:tabs>
              <w:tab w:val="right" w:leader="dot" w:pos="8296"/>
            </w:tabs>
            <w:spacing w:line="480" w:lineRule="auto"/>
          </w:pPr>
          <w:r>
            <w:fldChar w:fldCharType="begin"/>
          </w:r>
          <w:r>
            <w:instrText xml:space="preserve"> HYPERLINK \l "_Toc45607931" </w:instrText>
          </w:r>
          <w:r>
            <w:fldChar w:fldCharType="separate"/>
          </w:r>
          <w:r>
            <w:rPr>
              <w:rStyle w:val="14"/>
            </w:rPr>
            <w:t>2.3 UPS</w:t>
          </w:r>
          <w:r>
            <w:rPr>
              <w:rStyle w:val="14"/>
              <w:rFonts w:hint="eastAsia"/>
            </w:rPr>
            <w:t>电源管理系统技术要求</w:t>
          </w:r>
          <w:r>
            <w:tab/>
          </w:r>
          <w:r>
            <w:fldChar w:fldCharType="begin"/>
          </w:r>
          <w:r>
            <w:instrText xml:space="preserve"> PAGEREF _Toc45607931 \h </w:instrText>
          </w:r>
          <w:r>
            <w:fldChar w:fldCharType="separate"/>
          </w:r>
          <w:r>
            <w:t>11</w:t>
          </w:r>
          <w:r>
            <w:fldChar w:fldCharType="end"/>
          </w:r>
          <w:r>
            <w:fldChar w:fldCharType="end"/>
          </w:r>
        </w:p>
        <w:p>
          <w:pPr>
            <w:pStyle w:val="11"/>
            <w:tabs>
              <w:tab w:val="right" w:leader="dot" w:pos="8296"/>
            </w:tabs>
            <w:spacing w:line="480" w:lineRule="auto"/>
          </w:pPr>
          <w:r>
            <w:fldChar w:fldCharType="begin"/>
          </w:r>
          <w:r>
            <w:instrText xml:space="preserve"> HYPERLINK \l "_Toc45607932" </w:instrText>
          </w:r>
          <w:r>
            <w:fldChar w:fldCharType="separate"/>
          </w:r>
          <w:r>
            <w:rPr>
              <w:rStyle w:val="14"/>
            </w:rPr>
            <w:t xml:space="preserve">2.4 </w:t>
          </w:r>
          <w:r>
            <w:rPr>
              <w:rStyle w:val="14"/>
              <w:rFonts w:hint="eastAsia"/>
            </w:rPr>
            <w:t>智能门禁管理系统技术要求</w:t>
          </w:r>
          <w:r>
            <w:tab/>
          </w:r>
          <w:r>
            <w:fldChar w:fldCharType="begin"/>
          </w:r>
          <w:r>
            <w:instrText xml:space="preserve"> PAGEREF _Toc45607932 \h </w:instrText>
          </w:r>
          <w:r>
            <w:fldChar w:fldCharType="separate"/>
          </w:r>
          <w:r>
            <w:t>12</w:t>
          </w:r>
          <w:r>
            <w:fldChar w:fldCharType="end"/>
          </w:r>
          <w:r>
            <w:fldChar w:fldCharType="end"/>
          </w:r>
        </w:p>
        <w:p>
          <w:pPr>
            <w:pStyle w:val="11"/>
            <w:tabs>
              <w:tab w:val="right" w:leader="dot" w:pos="8296"/>
            </w:tabs>
            <w:spacing w:line="480" w:lineRule="auto"/>
          </w:pPr>
          <w:r>
            <w:fldChar w:fldCharType="begin"/>
          </w:r>
          <w:r>
            <w:instrText xml:space="preserve"> HYPERLINK \l "_Toc45607933" </w:instrText>
          </w:r>
          <w:r>
            <w:fldChar w:fldCharType="separate"/>
          </w:r>
          <w:r>
            <w:rPr>
              <w:rStyle w:val="14"/>
            </w:rPr>
            <w:t xml:space="preserve">2.5 </w:t>
          </w:r>
          <w:r>
            <w:rPr>
              <w:rStyle w:val="14"/>
              <w:rFonts w:hint="eastAsia"/>
            </w:rPr>
            <w:t>网络系统技术要求</w:t>
          </w:r>
          <w:r>
            <w:tab/>
          </w:r>
          <w:r>
            <w:fldChar w:fldCharType="begin"/>
          </w:r>
          <w:r>
            <w:instrText xml:space="preserve"> PAGEREF _Toc45607933 \h </w:instrText>
          </w:r>
          <w:r>
            <w:fldChar w:fldCharType="separate"/>
          </w:r>
          <w:r>
            <w:t>13</w:t>
          </w:r>
          <w:r>
            <w:fldChar w:fldCharType="end"/>
          </w:r>
          <w:r>
            <w:fldChar w:fldCharType="end"/>
          </w:r>
        </w:p>
        <w:p>
          <w:pPr>
            <w:pStyle w:val="11"/>
            <w:tabs>
              <w:tab w:val="right" w:leader="dot" w:pos="8296"/>
            </w:tabs>
            <w:spacing w:line="480" w:lineRule="auto"/>
          </w:pPr>
          <w:r>
            <w:fldChar w:fldCharType="begin"/>
          </w:r>
          <w:r>
            <w:instrText xml:space="preserve"> HYPERLINK \l "_Toc45607934" </w:instrText>
          </w:r>
          <w:r>
            <w:fldChar w:fldCharType="separate"/>
          </w:r>
          <w:r>
            <w:rPr>
              <w:rStyle w:val="14"/>
            </w:rPr>
            <w:t>2.6</w:t>
          </w:r>
          <w:r>
            <w:rPr>
              <w:rStyle w:val="14"/>
              <w:rFonts w:hint="eastAsia"/>
            </w:rPr>
            <w:t>技术要求重点说明</w:t>
          </w:r>
          <w:r>
            <w:tab/>
          </w:r>
          <w:r>
            <w:fldChar w:fldCharType="begin"/>
          </w:r>
          <w:r>
            <w:instrText xml:space="preserve"> PAGEREF _Toc45607934 \h </w:instrText>
          </w:r>
          <w:r>
            <w:fldChar w:fldCharType="separate"/>
          </w:r>
          <w:r>
            <w:t>17</w:t>
          </w:r>
          <w:r>
            <w:fldChar w:fldCharType="end"/>
          </w:r>
          <w:r>
            <w:fldChar w:fldCharType="end"/>
          </w:r>
        </w:p>
        <w:p>
          <w:pPr>
            <w:spacing w:line="480" w:lineRule="auto"/>
          </w:pPr>
          <w:r>
            <w:rPr>
              <w:b/>
              <w:bCs/>
              <w:lang w:val="zh-CN"/>
            </w:rPr>
            <w:fldChar w:fldCharType="end"/>
          </w:r>
        </w:p>
      </w:sdtContent>
    </w:sdt>
    <w:p>
      <w:pPr>
        <w:jc w:val="center"/>
        <w:rPr>
          <w:rFonts w:ascii="黑体" w:hAnsi="黑体" w:eastAsia="黑体" w:cs="黑体"/>
          <w:sz w:val="30"/>
          <w:szCs w:val="30"/>
        </w:rPr>
      </w:pPr>
    </w:p>
    <w:p>
      <w:pPr>
        <w:jc w:val="center"/>
        <w:rPr>
          <w:rFonts w:ascii="黑体" w:hAnsi="黑体" w:eastAsia="黑体" w:cs="黑体"/>
          <w:sz w:val="30"/>
          <w:szCs w:val="30"/>
        </w:rPr>
      </w:pPr>
    </w:p>
    <w:p>
      <w:pPr>
        <w:jc w:val="center"/>
        <w:rPr>
          <w:rFonts w:ascii="黑体" w:hAnsi="黑体" w:eastAsia="黑体" w:cs="黑体"/>
          <w:sz w:val="30"/>
          <w:szCs w:val="30"/>
        </w:rPr>
      </w:pPr>
    </w:p>
    <w:p>
      <w:pPr>
        <w:rPr>
          <w:rFonts w:ascii="黑体" w:hAnsi="黑体" w:eastAsia="黑体" w:cs="黑体"/>
          <w:sz w:val="30"/>
          <w:szCs w:val="30"/>
        </w:rPr>
      </w:pPr>
    </w:p>
    <w:p>
      <w:pPr>
        <w:pStyle w:val="2"/>
        <w:pageBreakBefore/>
      </w:pPr>
      <w:bookmarkStart w:id="0" w:name="_Toc45607921"/>
      <w:r>
        <w:rPr>
          <w:rFonts w:hint="eastAsia"/>
        </w:rPr>
        <w:t>一、项目概况</w:t>
      </w:r>
      <w:bookmarkEnd w:id="0"/>
    </w:p>
    <w:p>
      <w:pPr>
        <w:pStyle w:val="3"/>
      </w:pPr>
      <w:bookmarkStart w:id="1" w:name="_Toc45607922"/>
      <w:r>
        <w:rPr>
          <w:rFonts w:hint="eastAsia"/>
        </w:rPr>
        <w:t>1.1前言</w:t>
      </w:r>
      <w:bookmarkEnd w:id="1"/>
    </w:p>
    <w:p>
      <w:pPr>
        <w:spacing w:line="360" w:lineRule="auto"/>
        <w:ind w:firstLine="480" w:firstLineChars="200"/>
        <w:rPr>
          <w:rFonts w:ascii="宋体" w:hAnsi="宋体"/>
          <w:sz w:val="24"/>
          <w:szCs w:val="24"/>
        </w:rPr>
      </w:pPr>
      <w:r>
        <w:rPr>
          <w:rFonts w:hint="eastAsia" w:ascii="宋体" w:hAnsi="宋体"/>
          <w:sz w:val="24"/>
          <w:szCs w:val="24"/>
        </w:rPr>
        <w:t>本工程为南京信息工程大学文园23幢新建学生公寓，无地下室,总建筑面积约为10250.07平方米，共6层，建筑高度为20.85米，分设六个出入口，楼内设有学生宿舍、公共走道、储藏室及其它功能用房等。</w:t>
      </w:r>
    </w:p>
    <w:p>
      <w:pPr>
        <w:pStyle w:val="3"/>
      </w:pPr>
      <w:bookmarkStart w:id="2" w:name="_Toc45607923"/>
      <w:r>
        <w:rPr>
          <w:rFonts w:hint="eastAsia"/>
        </w:rPr>
        <w:t>1.2建设内容</w:t>
      </w:r>
      <w:bookmarkEnd w:id="2"/>
    </w:p>
    <w:p>
      <w:pPr>
        <w:spacing w:line="360" w:lineRule="auto"/>
        <w:ind w:firstLine="480" w:firstLineChars="200"/>
        <w:rPr>
          <w:rFonts w:ascii="宋体" w:hAnsi="宋体"/>
          <w:sz w:val="24"/>
          <w:szCs w:val="24"/>
        </w:rPr>
      </w:pPr>
      <w:r>
        <w:rPr>
          <w:rFonts w:hint="eastAsia" w:ascii="宋体" w:hAnsi="宋体"/>
          <w:sz w:val="24"/>
          <w:szCs w:val="24"/>
        </w:rPr>
        <w:t>南京信息工程大学文园23幢新建学生公寓智能化建设工程项目建设内容主要包括：安防监控系统，综合布线系统，UPS系统，智能门禁管理系统，网络及无线覆盖系统。项目建设遵循技术先进、布局合理、经济适用、安全可靠、质量优良、节约能耗等原则，并在技术指标、功能设计、性能特性、结构安装等方面满足学校信息化建设要求，满足学校未来5-10年的信息化建设要求。</w:t>
      </w:r>
    </w:p>
    <w:p>
      <w:pPr>
        <w:pStyle w:val="3"/>
      </w:pPr>
      <w:bookmarkStart w:id="3" w:name="_Toc45607924"/>
      <w:r>
        <w:rPr>
          <w:rFonts w:hint="eastAsia"/>
        </w:rPr>
        <w:t>1.3设计规范</w:t>
      </w:r>
      <w:bookmarkEnd w:id="3"/>
    </w:p>
    <w:p>
      <w:pPr>
        <w:spacing w:line="360" w:lineRule="auto"/>
        <w:ind w:firstLine="480" w:firstLineChars="200"/>
        <w:rPr>
          <w:rFonts w:ascii="宋体" w:hAnsi="宋体"/>
          <w:sz w:val="24"/>
          <w:szCs w:val="24"/>
        </w:rPr>
      </w:pPr>
      <w:r>
        <w:rPr>
          <w:rFonts w:hint="eastAsia" w:ascii="宋体" w:hAnsi="宋体"/>
          <w:sz w:val="24"/>
          <w:szCs w:val="24"/>
        </w:rPr>
        <w:t>系统设计除遵循学校提供的设计图纸和方案要求外，还必须遵守国家有关标准、国际标准等：</w:t>
      </w:r>
    </w:p>
    <w:p>
      <w:pPr>
        <w:tabs>
          <w:tab w:val="left" w:pos="1260"/>
        </w:tabs>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智能建筑设计标准【 GB/T50314-2006】</w:t>
      </w:r>
    </w:p>
    <w:p>
      <w:pPr>
        <w:tabs>
          <w:tab w:val="left" w:pos="1260"/>
        </w:tabs>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智能建筑工程施工规范【 GB50606-2010】</w:t>
      </w:r>
    </w:p>
    <w:p>
      <w:pPr>
        <w:tabs>
          <w:tab w:val="left" w:pos="1260"/>
        </w:tabs>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智能建筑工程质量验收规范【 GB50339-2003】</w:t>
      </w:r>
    </w:p>
    <w:p>
      <w:pPr>
        <w:tabs>
          <w:tab w:val="left" w:pos="1260"/>
        </w:tabs>
        <w:autoSpaceDE w:val="0"/>
        <w:autoSpaceDN w:val="0"/>
        <w:adjustRightInd w:val="0"/>
        <w:spacing w:line="360" w:lineRule="auto"/>
        <w:ind w:left="479" w:leftChars="228"/>
        <w:rPr>
          <w:rFonts w:ascii="宋体" w:hAnsi="宋体"/>
          <w:sz w:val="24"/>
          <w:szCs w:val="24"/>
        </w:rPr>
      </w:pPr>
      <w:r>
        <w:rPr>
          <w:rFonts w:hint="eastAsia" w:ascii="宋体" w:hAnsi="宋体"/>
          <w:sz w:val="24"/>
          <w:szCs w:val="24"/>
        </w:rPr>
        <w:t>民用建筑电气设计规范【 JGJ16-2008】</w:t>
      </w:r>
      <w:r>
        <w:rPr>
          <w:rFonts w:hint="eastAsia" w:ascii="宋体" w:hAnsi="宋体"/>
          <w:sz w:val="24"/>
          <w:szCs w:val="24"/>
        </w:rPr>
        <w:br w:type="textWrapping"/>
      </w:r>
      <w:r>
        <w:rPr>
          <w:rFonts w:hint="eastAsia" w:ascii="宋体" w:hAnsi="宋体"/>
          <w:sz w:val="24"/>
          <w:szCs w:val="24"/>
        </w:rPr>
        <w:t>供配电系统设计规范【 GB 50052-2009】</w:t>
      </w:r>
      <w:r>
        <w:rPr>
          <w:rFonts w:hint="eastAsia" w:ascii="宋体" w:hAnsi="宋体"/>
          <w:sz w:val="24"/>
          <w:szCs w:val="24"/>
        </w:rPr>
        <w:br w:type="textWrapping"/>
      </w:r>
      <w:r>
        <w:rPr>
          <w:rFonts w:hint="eastAsia" w:ascii="宋体" w:hAnsi="宋体"/>
          <w:sz w:val="24"/>
          <w:szCs w:val="24"/>
        </w:rPr>
        <w:t>公共建筑节能设计规范【 GB50189-2005】</w:t>
      </w:r>
      <w:r>
        <w:rPr>
          <w:rFonts w:hint="eastAsia" w:ascii="宋体" w:hAnsi="宋体"/>
          <w:sz w:val="24"/>
          <w:szCs w:val="24"/>
        </w:rPr>
        <w:br w:type="textWrapping"/>
      </w:r>
      <w:r>
        <w:rPr>
          <w:rFonts w:hint="eastAsia" w:ascii="宋体" w:hAnsi="宋体"/>
          <w:sz w:val="24"/>
          <w:szCs w:val="24"/>
        </w:rPr>
        <w:t>建筑电气工程施工质量验收规范【 GB50303-2002】</w:t>
      </w:r>
      <w:r>
        <w:rPr>
          <w:rFonts w:hint="eastAsia" w:ascii="宋体" w:hAnsi="宋体"/>
          <w:sz w:val="24"/>
          <w:szCs w:val="24"/>
        </w:rPr>
        <w:br w:type="textWrapping"/>
      </w:r>
      <w:r>
        <w:rPr>
          <w:rFonts w:hint="eastAsia" w:ascii="宋体" w:hAnsi="宋体"/>
          <w:sz w:val="24"/>
          <w:szCs w:val="24"/>
        </w:rPr>
        <w:t>电气装置安装工程接地装置施工及验收规范【 GB50169-2006】</w:t>
      </w:r>
      <w:r>
        <w:rPr>
          <w:rFonts w:hint="eastAsia" w:ascii="宋体" w:hAnsi="宋体"/>
          <w:sz w:val="24"/>
          <w:szCs w:val="24"/>
        </w:rPr>
        <w:br w:type="textWrapping"/>
      </w:r>
      <w:r>
        <w:rPr>
          <w:rFonts w:hint="eastAsia" w:ascii="宋体" w:hAnsi="宋体"/>
          <w:sz w:val="24"/>
          <w:szCs w:val="24"/>
        </w:rPr>
        <w:t>绿色建筑评价标准【 GB/T50378-2006】</w:t>
      </w:r>
    </w:p>
    <w:p>
      <w:pPr>
        <w:autoSpaceDE w:val="0"/>
        <w:autoSpaceDN w:val="0"/>
        <w:adjustRightInd w:val="0"/>
        <w:spacing w:line="360" w:lineRule="auto"/>
        <w:ind w:left="479" w:leftChars="228"/>
        <w:jc w:val="left"/>
        <w:rPr>
          <w:rFonts w:ascii="宋体" w:hAnsi="宋体" w:cs="System"/>
          <w:kern w:val="0"/>
          <w:sz w:val="24"/>
          <w:szCs w:val="24"/>
        </w:rPr>
      </w:pPr>
      <w:r>
        <w:rPr>
          <w:rFonts w:hint="eastAsia" w:ascii="宋体" w:hAnsi="宋体"/>
          <w:sz w:val="24"/>
          <w:szCs w:val="24"/>
        </w:rPr>
        <w:t>民用建筑设计术语标准【 GB/T50504-2009】</w:t>
      </w:r>
      <w:r>
        <w:rPr>
          <w:rFonts w:hint="eastAsia" w:ascii="宋体" w:hAnsi="宋体"/>
          <w:sz w:val="24"/>
          <w:szCs w:val="24"/>
        </w:rPr>
        <w:br w:type="textWrapping"/>
      </w:r>
      <w:r>
        <w:rPr>
          <w:rFonts w:hint="eastAsia" w:ascii="宋体" w:hAnsi="宋体"/>
          <w:sz w:val="24"/>
          <w:szCs w:val="24"/>
        </w:rPr>
        <w:t>建筑物电子信息系统防雷技术要求【 GB 50343-2004】</w:t>
      </w:r>
    </w:p>
    <w:p>
      <w:pPr>
        <w:tabs>
          <w:tab w:val="left" w:pos="1260"/>
        </w:tabs>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《安全防范工程程序与要求》GA/T 75-94</w:t>
      </w:r>
    </w:p>
    <w:p>
      <w:pPr>
        <w:tabs>
          <w:tab w:val="left" w:pos="1260"/>
        </w:tabs>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《建筑与建筑群综合布线系统工程设计规范》GB50311-2000</w:t>
      </w:r>
    </w:p>
    <w:p>
      <w:pPr>
        <w:tabs>
          <w:tab w:val="left" w:pos="1260"/>
        </w:tabs>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《大楼通信综合布线系统》YDT 926-2009</w:t>
      </w:r>
    </w:p>
    <w:p>
      <w:pPr>
        <w:tabs>
          <w:tab w:val="left" w:pos="1260"/>
        </w:tabs>
        <w:autoSpaceDE w:val="0"/>
        <w:autoSpaceDN w:val="0"/>
        <w:adjustRightInd w:val="0"/>
        <w:spacing w:line="360" w:lineRule="auto"/>
        <w:ind w:firstLine="480" w:firstLineChars="200"/>
        <w:rPr>
          <w:rFonts w:ascii="微软雅黑 Light" w:hAnsi="微软雅黑 Light" w:eastAsia="微软雅黑 Light" w:cs="微软雅黑 Light"/>
          <w:szCs w:val="21"/>
        </w:rPr>
      </w:pPr>
      <w:r>
        <w:rPr>
          <w:rFonts w:hint="eastAsia" w:ascii="宋体" w:hAnsi="宋体"/>
          <w:sz w:val="24"/>
          <w:szCs w:val="24"/>
        </w:rPr>
        <w:t>《面板、机架和机框的基本尺寸》GJB100-1986</w:t>
      </w:r>
    </w:p>
    <w:p>
      <w:pPr>
        <w:pStyle w:val="3"/>
      </w:pPr>
      <w:bookmarkStart w:id="4" w:name="_Toc45607925"/>
      <w:r>
        <w:rPr>
          <w:rFonts w:hint="eastAsia"/>
        </w:rPr>
        <w:t>1.4信息点分布</w:t>
      </w:r>
      <w:bookmarkEnd w:id="4"/>
    </w:p>
    <w:p>
      <w:r>
        <w:rPr>
          <w:rFonts w:hint="eastAsia"/>
        </w:rPr>
        <w:t>一层布局图（详细见CAD图纸）如下：</w:t>
      </w:r>
    </w:p>
    <w:p>
      <w:r>
        <w:drawing>
          <wp:inline distT="0" distB="0" distL="0" distR="0">
            <wp:extent cx="5274310" cy="2548255"/>
            <wp:effectExtent l="0" t="0" r="2540" b="4445"/>
            <wp:docPr id="6" name="图片 6" descr="C:\Users\ADMINI~1\AppData\Local\Temp\159297508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1592975082(1).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274310" cy="2548617"/>
                    </a:xfrm>
                    <a:prstGeom prst="rect">
                      <a:avLst/>
                    </a:prstGeom>
                    <a:noFill/>
                    <a:ln>
                      <a:noFill/>
                    </a:ln>
                  </pic:spPr>
                </pic:pic>
              </a:graphicData>
            </a:graphic>
          </wp:inline>
        </w:drawing>
      </w:r>
    </w:p>
    <w:p/>
    <w:p>
      <w:r>
        <w:rPr>
          <w:rFonts w:hint="eastAsia"/>
        </w:rPr>
        <w:t>二至六层布局图（详细见CAD图纸）如下：</w:t>
      </w:r>
    </w:p>
    <w:p>
      <w:r>
        <w:drawing>
          <wp:inline distT="0" distB="0" distL="0" distR="0">
            <wp:extent cx="5274310" cy="2819400"/>
            <wp:effectExtent l="0" t="0" r="2540" b="0"/>
            <wp:docPr id="7" name="图片 7" descr="C:\Users\ADMINI~1\AppData\Local\Temp\15929751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1592975125(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274310" cy="2819463"/>
                    </a:xfrm>
                    <a:prstGeom prst="rect">
                      <a:avLst/>
                    </a:prstGeom>
                    <a:noFill/>
                    <a:ln>
                      <a:noFill/>
                    </a:ln>
                  </pic:spPr>
                </pic:pic>
              </a:graphicData>
            </a:graphic>
          </wp:inline>
        </w:drawing>
      </w:r>
    </w:p>
    <w:p/>
    <w:p>
      <w:pPr>
        <w:pageBreakBefore/>
      </w:pPr>
      <w:r>
        <w:rPr>
          <w:rFonts w:hint="eastAsia"/>
        </w:rPr>
        <w:t>网络拓扑示意图如下：</w:t>
      </w:r>
    </w:p>
    <w:p/>
    <w:p>
      <w:r>
        <w:drawing>
          <wp:inline distT="0" distB="0" distL="0" distR="0">
            <wp:extent cx="5274310" cy="3427730"/>
            <wp:effectExtent l="0" t="0" r="2540" b="1270"/>
            <wp:docPr id="5" name="图片 5" descr="C:\Users\Administrator\Desktop\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22.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74310" cy="3427747"/>
                    </a:xfrm>
                    <a:prstGeom prst="rect">
                      <a:avLst/>
                    </a:prstGeom>
                    <a:noFill/>
                    <a:ln>
                      <a:noFill/>
                    </a:ln>
                  </pic:spPr>
                </pic:pic>
              </a:graphicData>
            </a:graphic>
          </wp:inline>
        </w:drawing>
      </w:r>
    </w:p>
    <w:p/>
    <w:p/>
    <w:p>
      <w:r>
        <w:drawing>
          <wp:inline distT="0" distB="0" distL="0" distR="0">
            <wp:extent cx="5274310" cy="2630805"/>
            <wp:effectExtent l="0" t="0" r="2540" b="0"/>
            <wp:docPr id="1" name="图片 1" descr="C:\Users\ADMINI~1\AppData\Local\Temp\158911718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1589117184(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2631131"/>
                    </a:xfrm>
                    <a:prstGeom prst="rect">
                      <a:avLst/>
                    </a:prstGeom>
                    <a:noFill/>
                    <a:ln>
                      <a:noFill/>
                    </a:ln>
                  </pic:spPr>
                </pic:pic>
              </a:graphicData>
            </a:graphic>
          </wp:inline>
        </w:drawing>
      </w:r>
    </w:p>
    <w:p/>
    <w:p>
      <w:pPr>
        <w:pageBreakBefore/>
        <w:jc w:val="left"/>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3栋学生公寓</w:t>
      </w:r>
      <w:r>
        <w:rPr>
          <w:rFonts w:hint="eastAsia"/>
        </w:rPr>
        <w:t>具体信息点分布如下：</w:t>
      </w:r>
      <w:r>
        <w:t xml:space="preserve"> </w:t>
      </w:r>
    </w:p>
    <w:tbl>
      <w:tblPr>
        <w:tblStyle w:val="12"/>
        <w:tblW w:w="9651" w:type="dxa"/>
        <w:tblInd w:w="-667" w:type="dxa"/>
        <w:tblLayout w:type="fixed"/>
        <w:tblCellMar>
          <w:top w:w="0" w:type="dxa"/>
          <w:left w:w="108" w:type="dxa"/>
          <w:bottom w:w="0" w:type="dxa"/>
          <w:right w:w="108" w:type="dxa"/>
        </w:tblCellMar>
      </w:tblPr>
      <w:tblGrid>
        <w:gridCol w:w="1101"/>
        <w:gridCol w:w="1958"/>
        <w:gridCol w:w="1306"/>
        <w:gridCol w:w="1272"/>
        <w:gridCol w:w="1321"/>
        <w:gridCol w:w="1275"/>
        <w:gridCol w:w="1418"/>
      </w:tblGrid>
      <w:tr>
        <w:tblPrEx>
          <w:tblCellMar>
            <w:top w:w="0" w:type="dxa"/>
            <w:left w:w="108" w:type="dxa"/>
            <w:bottom w:w="0" w:type="dxa"/>
            <w:right w:w="108" w:type="dxa"/>
          </w:tblCellMar>
        </w:tblPrEx>
        <w:trPr>
          <w:trHeight w:val="354" w:hRule="atLeast"/>
        </w:trPr>
        <w:tc>
          <w:tcPr>
            <w:tcW w:w="9651" w:type="dxa"/>
            <w:gridSpan w:val="7"/>
            <w:tcBorders>
              <w:top w:val="single" w:color="auto" w:sz="4" w:space="0"/>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p>
        </w:tc>
      </w:tr>
      <w:tr>
        <w:tblPrEx>
          <w:tblCellMar>
            <w:top w:w="0" w:type="dxa"/>
            <w:left w:w="108" w:type="dxa"/>
            <w:bottom w:w="0" w:type="dxa"/>
            <w:right w:w="108" w:type="dxa"/>
          </w:tblCellMar>
        </w:tblPrEx>
        <w:trPr>
          <w:trHeight w:val="340" w:hRule="atLeast"/>
        </w:trPr>
        <w:tc>
          <w:tcPr>
            <w:tcW w:w="1101" w:type="dxa"/>
            <w:tcBorders>
              <w:top w:val="nil"/>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楼层</w:t>
            </w:r>
          </w:p>
        </w:tc>
        <w:tc>
          <w:tcPr>
            <w:tcW w:w="1958"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位置名称</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间数</w:t>
            </w: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有线点数</w:t>
            </w: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分体式</w:t>
            </w:r>
            <w:r>
              <w:rPr>
                <w:rFonts w:ascii="微软雅黑 Light" w:hAnsi="微软雅黑 Light" w:eastAsia="微软雅黑 Light" w:cs="微软雅黑 Light"/>
                <w:color w:val="000000"/>
                <w:kern w:val="0"/>
                <w:szCs w:val="21"/>
              </w:rPr>
              <w:t>AP</w:t>
            </w: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高密AP</w:t>
            </w: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智能网关</w:t>
            </w:r>
          </w:p>
        </w:tc>
      </w:tr>
      <w:tr>
        <w:tblPrEx>
          <w:tblCellMar>
            <w:top w:w="0" w:type="dxa"/>
            <w:left w:w="108" w:type="dxa"/>
            <w:bottom w:w="0" w:type="dxa"/>
            <w:right w:w="108" w:type="dxa"/>
          </w:tblCellMar>
        </w:tblPrEx>
        <w:trPr>
          <w:trHeight w:val="340" w:hRule="atLeast"/>
        </w:trPr>
        <w:tc>
          <w:tcPr>
            <w:tcW w:w="1101" w:type="dxa"/>
            <w:vMerge w:val="restart"/>
            <w:tcBorders>
              <w:top w:val="nil"/>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一楼</w:t>
            </w: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学生公寓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3</w:t>
            </w:r>
            <w:r>
              <w:rPr>
                <w:rFonts w:hint="eastAsia" w:ascii="微软雅黑 Light" w:hAnsi="微软雅黑 Light" w:eastAsia="微软雅黑 Light" w:cs="微软雅黑 Light"/>
                <w:color w:val="000000"/>
                <w:kern w:val="0"/>
                <w:szCs w:val="21"/>
              </w:rPr>
              <w:t>9</w:t>
            </w:r>
          </w:p>
        </w:tc>
        <w:tc>
          <w:tcPr>
            <w:tcW w:w="1272" w:type="dxa"/>
            <w:tcBorders>
              <w:top w:val="nil"/>
              <w:left w:val="nil"/>
              <w:bottom w:val="single" w:color="auto" w:sz="4" w:space="0"/>
              <w:right w:val="single" w:color="auto" w:sz="4" w:space="0"/>
            </w:tcBorders>
            <w:shd w:val="clear" w:color="000000" w:fill="FFFFFF"/>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7</w:t>
            </w:r>
            <w:r>
              <w:rPr>
                <w:rFonts w:hint="eastAsia" w:ascii="微软雅黑 Light" w:hAnsi="微软雅黑 Light" w:eastAsia="微软雅黑 Light" w:cs="微软雅黑 Light"/>
                <w:color w:val="000000"/>
                <w:kern w:val="0"/>
                <w:szCs w:val="21"/>
              </w:rPr>
              <w:t>8</w:t>
            </w: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3</w:t>
            </w:r>
            <w:r>
              <w:rPr>
                <w:rFonts w:hint="eastAsia" w:ascii="微软雅黑 Light" w:hAnsi="微软雅黑 Light" w:eastAsia="微软雅黑 Light" w:cs="微软雅黑 Light"/>
                <w:color w:val="000000"/>
                <w:kern w:val="0"/>
                <w:szCs w:val="21"/>
              </w:rPr>
              <w:t>9</w:t>
            </w: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center"/>
          </w:tcPr>
          <w:p>
            <w:pPr>
              <w:widowControl/>
              <w:spacing w:line="480" w:lineRule="exact"/>
              <w:jc w:val="left"/>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值班室</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1</w:t>
            </w:r>
          </w:p>
        </w:tc>
        <w:tc>
          <w:tcPr>
            <w:tcW w:w="1272" w:type="dxa"/>
            <w:tcBorders>
              <w:top w:val="nil"/>
              <w:left w:val="nil"/>
              <w:bottom w:val="single" w:color="auto" w:sz="4" w:space="0"/>
              <w:right w:val="single" w:color="auto" w:sz="4" w:space="0"/>
            </w:tcBorders>
            <w:shd w:val="clear" w:color="000000" w:fill="FFFFFF"/>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w:t>
            </w: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center"/>
          </w:tcPr>
          <w:p>
            <w:pPr>
              <w:widowControl/>
              <w:spacing w:line="480" w:lineRule="exact"/>
              <w:jc w:val="left"/>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过道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shd w:val="clear" w:color="000000" w:fill="FFFFFF"/>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center"/>
          </w:tcPr>
          <w:p>
            <w:pPr>
              <w:widowControl/>
              <w:spacing w:line="480" w:lineRule="exact"/>
              <w:jc w:val="left"/>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小计</w:t>
            </w:r>
            <w:r>
              <w:rPr>
                <w:rFonts w:ascii="微软雅黑 Light" w:hAnsi="微软雅黑 Light" w:eastAsia="微软雅黑 Light" w:cs="微软雅黑 Light"/>
                <w:color w:val="000000"/>
                <w:kern w:val="0"/>
                <w:szCs w:val="21"/>
              </w:rPr>
              <w:t>1</w:t>
            </w:r>
          </w:p>
        </w:tc>
        <w:tc>
          <w:tcPr>
            <w:tcW w:w="1306"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8</w:t>
            </w:r>
            <w:r>
              <w:rPr>
                <w:rFonts w:hint="eastAsia" w:ascii="微软雅黑 Light" w:hAnsi="微软雅黑 Light" w:eastAsia="微软雅黑 Light" w:cs="微软雅黑 Light"/>
                <w:color w:val="000000"/>
                <w:kern w:val="0"/>
                <w:szCs w:val="21"/>
              </w:rPr>
              <w:t>0</w:t>
            </w:r>
          </w:p>
        </w:tc>
        <w:tc>
          <w:tcPr>
            <w:tcW w:w="1321"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39</w:t>
            </w:r>
          </w:p>
        </w:tc>
        <w:tc>
          <w:tcPr>
            <w:tcW w:w="1275" w:type="dxa"/>
            <w:tcBorders>
              <w:top w:val="single" w:color="auto" w:sz="4" w:space="0"/>
              <w:left w:val="nil"/>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restart"/>
            <w:tcBorders>
              <w:top w:val="nil"/>
              <w:left w:val="single" w:color="auto" w:sz="4" w:space="0"/>
              <w:right w:val="single" w:color="auto" w:sz="4" w:space="0"/>
            </w:tcBorders>
            <w:vAlign w:val="bottom"/>
          </w:tcPr>
          <w:p>
            <w:pPr>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二楼</w:t>
            </w: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学生公寓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4</w:t>
            </w:r>
            <w:r>
              <w:rPr>
                <w:rFonts w:hint="eastAsia" w:ascii="微软雅黑 Light" w:hAnsi="微软雅黑 Light" w:eastAsia="微软雅黑 Light" w:cs="微软雅黑 Light"/>
                <w:color w:val="000000"/>
                <w:kern w:val="0"/>
                <w:szCs w:val="21"/>
              </w:rPr>
              <w:t>4</w:t>
            </w: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88</w:t>
            </w: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44</w:t>
            </w: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r>
      <w:tr>
        <w:tblPrEx>
          <w:tblCellMar>
            <w:top w:w="0" w:type="dxa"/>
            <w:left w:w="108" w:type="dxa"/>
            <w:bottom w:w="0" w:type="dxa"/>
            <w:right w:w="108" w:type="dxa"/>
          </w:tblCellMar>
        </w:tblPrEx>
        <w:trPr>
          <w:trHeight w:val="340" w:hRule="atLeast"/>
        </w:trPr>
        <w:tc>
          <w:tcPr>
            <w:tcW w:w="1101" w:type="dxa"/>
            <w:vMerge w:val="continue"/>
            <w:tcBorders>
              <w:left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过道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continue"/>
            <w:tcBorders>
              <w:left w:val="single" w:color="auto" w:sz="4" w:space="0"/>
              <w:bottom w:val="single" w:color="auto" w:sz="4" w:space="0"/>
              <w:right w:val="single" w:color="auto" w:sz="4" w:space="0"/>
            </w:tcBorders>
            <w:vAlign w:val="center"/>
          </w:tcPr>
          <w:p>
            <w:pPr>
              <w:widowControl/>
              <w:spacing w:line="480" w:lineRule="exact"/>
              <w:jc w:val="left"/>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小计</w:t>
            </w:r>
            <w:r>
              <w:rPr>
                <w:rFonts w:ascii="微软雅黑 Light" w:hAnsi="微软雅黑 Light" w:eastAsia="微软雅黑 Light" w:cs="微软雅黑 Light"/>
                <w:color w:val="000000"/>
                <w:kern w:val="0"/>
                <w:szCs w:val="21"/>
              </w:rPr>
              <w:t>2</w:t>
            </w:r>
          </w:p>
        </w:tc>
        <w:tc>
          <w:tcPr>
            <w:tcW w:w="1306"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8</w:t>
            </w:r>
            <w:r>
              <w:rPr>
                <w:rFonts w:hint="eastAsia" w:ascii="微软雅黑 Light" w:hAnsi="微软雅黑 Light" w:eastAsia="微软雅黑 Light" w:cs="微软雅黑 Light"/>
                <w:color w:val="000000"/>
                <w:kern w:val="0"/>
                <w:szCs w:val="21"/>
              </w:rPr>
              <w:t>8</w:t>
            </w:r>
          </w:p>
        </w:tc>
        <w:tc>
          <w:tcPr>
            <w:tcW w:w="1321"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4</w:t>
            </w:r>
            <w:r>
              <w:rPr>
                <w:rFonts w:hint="eastAsia" w:ascii="微软雅黑 Light" w:hAnsi="微软雅黑 Light" w:eastAsia="微软雅黑 Light" w:cs="微软雅黑 Light"/>
                <w:color w:val="000000"/>
                <w:kern w:val="0"/>
                <w:szCs w:val="21"/>
              </w:rPr>
              <w:t>4</w:t>
            </w:r>
          </w:p>
        </w:tc>
        <w:tc>
          <w:tcPr>
            <w:tcW w:w="1275" w:type="dxa"/>
            <w:tcBorders>
              <w:top w:val="single" w:color="auto" w:sz="4" w:space="0"/>
              <w:left w:val="nil"/>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restart"/>
            <w:tcBorders>
              <w:top w:val="nil"/>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三楼</w:t>
            </w: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学生公寓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4</w:t>
            </w:r>
            <w:r>
              <w:rPr>
                <w:rFonts w:hint="eastAsia" w:ascii="微软雅黑 Light" w:hAnsi="微软雅黑 Light" w:eastAsia="微软雅黑 Light" w:cs="微软雅黑 Light"/>
                <w:color w:val="000000"/>
                <w:kern w:val="0"/>
                <w:szCs w:val="21"/>
              </w:rPr>
              <w:t>4</w:t>
            </w: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88</w:t>
            </w: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44</w:t>
            </w: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过道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center"/>
          </w:tcPr>
          <w:p>
            <w:pPr>
              <w:widowControl/>
              <w:spacing w:line="480" w:lineRule="exact"/>
              <w:jc w:val="left"/>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小计</w:t>
            </w:r>
            <w:r>
              <w:rPr>
                <w:rFonts w:ascii="微软雅黑 Light" w:hAnsi="微软雅黑 Light" w:eastAsia="微软雅黑 Light" w:cs="微软雅黑 Light"/>
                <w:color w:val="000000"/>
                <w:kern w:val="0"/>
                <w:szCs w:val="21"/>
              </w:rPr>
              <w:t>3</w:t>
            </w:r>
          </w:p>
        </w:tc>
        <w:tc>
          <w:tcPr>
            <w:tcW w:w="1306"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8</w:t>
            </w:r>
            <w:r>
              <w:rPr>
                <w:rFonts w:hint="eastAsia" w:ascii="微软雅黑 Light" w:hAnsi="微软雅黑 Light" w:eastAsia="微软雅黑 Light" w:cs="微软雅黑 Light"/>
                <w:color w:val="000000"/>
                <w:kern w:val="0"/>
                <w:szCs w:val="21"/>
              </w:rPr>
              <w:t>8</w:t>
            </w:r>
          </w:p>
        </w:tc>
        <w:tc>
          <w:tcPr>
            <w:tcW w:w="1321"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4</w:t>
            </w:r>
            <w:r>
              <w:rPr>
                <w:rFonts w:hint="eastAsia" w:ascii="微软雅黑 Light" w:hAnsi="微软雅黑 Light" w:eastAsia="微软雅黑 Light" w:cs="微软雅黑 Light"/>
                <w:color w:val="000000"/>
                <w:kern w:val="0"/>
                <w:szCs w:val="21"/>
              </w:rPr>
              <w:t>4</w:t>
            </w:r>
          </w:p>
        </w:tc>
        <w:tc>
          <w:tcPr>
            <w:tcW w:w="1275" w:type="dxa"/>
            <w:tcBorders>
              <w:top w:val="single" w:color="auto" w:sz="4" w:space="0"/>
              <w:left w:val="nil"/>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restart"/>
            <w:tcBorders>
              <w:top w:val="nil"/>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四楼</w:t>
            </w: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学生公寓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4</w:t>
            </w:r>
            <w:r>
              <w:rPr>
                <w:rFonts w:hint="eastAsia" w:ascii="微软雅黑 Light" w:hAnsi="微软雅黑 Light" w:eastAsia="微软雅黑 Light" w:cs="微软雅黑 Light"/>
                <w:color w:val="000000"/>
                <w:kern w:val="0"/>
                <w:szCs w:val="21"/>
              </w:rPr>
              <w:t>4</w:t>
            </w: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88</w:t>
            </w: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44</w:t>
            </w: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过道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center"/>
          </w:tcPr>
          <w:p>
            <w:pPr>
              <w:widowControl/>
              <w:spacing w:line="480" w:lineRule="exact"/>
              <w:jc w:val="left"/>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小计</w:t>
            </w:r>
            <w:r>
              <w:rPr>
                <w:rFonts w:ascii="微软雅黑 Light" w:hAnsi="微软雅黑 Light" w:eastAsia="微软雅黑 Light" w:cs="微软雅黑 Light"/>
                <w:color w:val="000000"/>
                <w:kern w:val="0"/>
                <w:szCs w:val="21"/>
              </w:rPr>
              <w:t>4</w:t>
            </w:r>
          </w:p>
        </w:tc>
        <w:tc>
          <w:tcPr>
            <w:tcW w:w="1306"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8</w:t>
            </w:r>
            <w:r>
              <w:rPr>
                <w:rFonts w:hint="eastAsia" w:ascii="微软雅黑 Light" w:hAnsi="微软雅黑 Light" w:eastAsia="微软雅黑 Light" w:cs="微软雅黑 Light"/>
                <w:color w:val="000000"/>
                <w:kern w:val="0"/>
                <w:szCs w:val="21"/>
              </w:rPr>
              <w:t>8</w:t>
            </w:r>
          </w:p>
        </w:tc>
        <w:tc>
          <w:tcPr>
            <w:tcW w:w="1321"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4</w:t>
            </w:r>
            <w:r>
              <w:rPr>
                <w:rFonts w:hint="eastAsia" w:ascii="微软雅黑 Light" w:hAnsi="微软雅黑 Light" w:eastAsia="微软雅黑 Light" w:cs="微软雅黑 Light"/>
                <w:color w:val="000000"/>
                <w:kern w:val="0"/>
                <w:szCs w:val="21"/>
              </w:rPr>
              <w:t>4</w:t>
            </w:r>
          </w:p>
        </w:tc>
        <w:tc>
          <w:tcPr>
            <w:tcW w:w="1275" w:type="dxa"/>
            <w:tcBorders>
              <w:top w:val="single" w:color="auto" w:sz="4" w:space="0"/>
              <w:left w:val="nil"/>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restart"/>
            <w:tcBorders>
              <w:top w:val="nil"/>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五楼</w:t>
            </w: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学生公寓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4</w:t>
            </w:r>
            <w:r>
              <w:rPr>
                <w:rFonts w:hint="eastAsia" w:ascii="微软雅黑 Light" w:hAnsi="微软雅黑 Light" w:eastAsia="微软雅黑 Light" w:cs="微软雅黑 Light"/>
                <w:color w:val="000000"/>
                <w:kern w:val="0"/>
                <w:szCs w:val="21"/>
              </w:rPr>
              <w:t>4</w:t>
            </w: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88</w:t>
            </w: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44</w:t>
            </w: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过道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center"/>
          </w:tcPr>
          <w:p>
            <w:pPr>
              <w:widowControl/>
              <w:spacing w:line="480" w:lineRule="exact"/>
              <w:jc w:val="left"/>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小计</w:t>
            </w:r>
            <w:r>
              <w:rPr>
                <w:rFonts w:ascii="微软雅黑 Light" w:hAnsi="微软雅黑 Light" w:eastAsia="微软雅黑 Light" w:cs="微软雅黑 Light"/>
                <w:color w:val="000000"/>
                <w:kern w:val="0"/>
                <w:szCs w:val="21"/>
              </w:rPr>
              <w:t>5</w:t>
            </w:r>
          </w:p>
        </w:tc>
        <w:tc>
          <w:tcPr>
            <w:tcW w:w="1306"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8</w:t>
            </w:r>
            <w:r>
              <w:rPr>
                <w:rFonts w:hint="eastAsia" w:ascii="微软雅黑 Light" w:hAnsi="微软雅黑 Light" w:eastAsia="微软雅黑 Light" w:cs="微软雅黑 Light"/>
                <w:color w:val="000000"/>
                <w:kern w:val="0"/>
                <w:szCs w:val="21"/>
              </w:rPr>
              <w:t>8</w:t>
            </w:r>
          </w:p>
        </w:tc>
        <w:tc>
          <w:tcPr>
            <w:tcW w:w="1321"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4</w:t>
            </w:r>
            <w:r>
              <w:rPr>
                <w:rFonts w:hint="eastAsia" w:ascii="微软雅黑 Light" w:hAnsi="微软雅黑 Light" w:eastAsia="微软雅黑 Light" w:cs="微软雅黑 Light"/>
                <w:color w:val="000000"/>
                <w:kern w:val="0"/>
                <w:szCs w:val="21"/>
              </w:rPr>
              <w:t>4</w:t>
            </w:r>
          </w:p>
        </w:tc>
        <w:tc>
          <w:tcPr>
            <w:tcW w:w="1275" w:type="dxa"/>
            <w:tcBorders>
              <w:top w:val="single" w:color="auto" w:sz="4" w:space="0"/>
              <w:left w:val="nil"/>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restart"/>
            <w:tcBorders>
              <w:top w:val="nil"/>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六楼</w:t>
            </w: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学生公寓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4</w:t>
            </w:r>
            <w:r>
              <w:rPr>
                <w:rFonts w:hint="eastAsia" w:ascii="微软雅黑 Light" w:hAnsi="微软雅黑 Light" w:eastAsia="微软雅黑 Light" w:cs="微软雅黑 Light"/>
                <w:color w:val="000000"/>
                <w:kern w:val="0"/>
                <w:szCs w:val="21"/>
              </w:rPr>
              <w:t>4</w:t>
            </w: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88</w:t>
            </w: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44</w:t>
            </w: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过道</w:t>
            </w:r>
          </w:p>
        </w:tc>
        <w:tc>
          <w:tcPr>
            <w:tcW w:w="1306"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321" w:type="dxa"/>
            <w:tcBorders>
              <w:top w:val="nil"/>
              <w:left w:val="nil"/>
              <w:bottom w:val="single" w:color="auto" w:sz="4" w:space="0"/>
              <w:right w:val="single" w:color="auto" w:sz="4" w:space="0"/>
            </w:tcBorders>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5" w:type="dxa"/>
            <w:tcBorders>
              <w:top w:val="single" w:color="auto" w:sz="4" w:space="0"/>
              <w:left w:val="nil"/>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vMerge w:val="continue"/>
            <w:tcBorders>
              <w:top w:val="nil"/>
              <w:left w:val="single" w:color="auto" w:sz="4" w:space="0"/>
              <w:bottom w:val="single" w:color="auto" w:sz="4" w:space="0"/>
              <w:right w:val="single" w:color="auto" w:sz="4" w:space="0"/>
            </w:tcBorders>
            <w:vAlign w:val="center"/>
          </w:tcPr>
          <w:p>
            <w:pPr>
              <w:widowControl/>
              <w:spacing w:line="480" w:lineRule="exact"/>
              <w:jc w:val="left"/>
              <w:rPr>
                <w:rFonts w:ascii="微软雅黑 Light" w:hAnsi="微软雅黑 Light" w:eastAsia="微软雅黑 Light" w:cs="微软雅黑 Light"/>
                <w:color w:val="000000"/>
                <w:kern w:val="0"/>
                <w:szCs w:val="21"/>
              </w:rPr>
            </w:pPr>
          </w:p>
        </w:tc>
        <w:tc>
          <w:tcPr>
            <w:tcW w:w="1958"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left"/>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小计6</w:t>
            </w:r>
          </w:p>
        </w:tc>
        <w:tc>
          <w:tcPr>
            <w:tcW w:w="1306"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p>
        </w:tc>
        <w:tc>
          <w:tcPr>
            <w:tcW w:w="1272"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8</w:t>
            </w:r>
            <w:r>
              <w:rPr>
                <w:rFonts w:hint="eastAsia" w:ascii="微软雅黑 Light" w:hAnsi="微软雅黑 Light" w:eastAsia="微软雅黑 Light" w:cs="微软雅黑 Light"/>
                <w:color w:val="000000"/>
                <w:kern w:val="0"/>
                <w:szCs w:val="21"/>
              </w:rPr>
              <w:t>8</w:t>
            </w:r>
          </w:p>
        </w:tc>
        <w:tc>
          <w:tcPr>
            <w:tcW w:w="1321" w:type="dxa"/>
            <w:tcBorders>
              <w:top w:val="nil"/>
              <w:left w:val="nil"/>
              <w:bottom w:val="single" w:color="auto" w:sz="4" w:space="0"/>
              <w:right w:val="single" w:color="auto" w:sz="4" w:space="0"/>
            </w:tcBorders>
            <w:shd w:val="clear" w:color="auto" w:fill="92CDDC" w:themeFill="accent5" w:themeFillTint="99"/>
            <w:vAlign w:val="bottom"/>
          </w:tcPr>
          <w:p>
            <w:pPr>
              <w:widowControl/>
              <w:spacing w:line="480" w:lineRule="exact"/>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4</w:t>
            </w:r>
            <w:r>
              <w:rPr>
                <w:rFonts w:hint="eastAsia" w:ascii="微软雅黑 Light" w:hAnsi="微软雅黑 Light" w:eastAsia="微软雅黑 Light" w:cs="微软雅黑 Light"/>
                <w:color w:val="000000"/>
                <w:kern w:val="0"/>
                <w:szCs w:val="21"/>
              </w:rPr>
              <w:t>4</w:t>
            </w:r>
          </w:p>
        </w:tc>
        <w:tc>
          <w:tcPr>
            <w:tcW w:w="1275" w:type="dxa"/>
            <w:tcBorders>
              <w:top w:val="single" w:color="auto" w:sz="4" w:space="0"/>
              <w:left w:val="nil"/>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shd w:val="clear" w:color="auto" w:fill="92CDDC" w:themeFill="accent5" w:themeFillTint="99"/>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r>
      <w:tr>
        <w:tblPrEx>
          <w:tblCellMar>
            <w:top w:w="0" w:type="dxa"/>
            <w:left w:w="108" w:type="dxa"/>
            <w:bottom w:w="0" w:type="dxa"/>
            <w:right w:w="108" w:type="dxa"/>
          </w:tblCellMar>
        </w:tblPrEx>
        <w:trPr>
          <w:trHeight w:val="340" w:hRule="atLeast"/>
        </w:trPr>
        <w:tc>
          <w:tcPr>
            <w:tcW w:w="1101" w:type="dxa"/>
            <w:tcBorders>
              <w:top w:val="nil"/>
              <w:left w:val="single" w:color="auto" w:sz="4" w:space="0"/>
              <w:bottom w:val="single" w:color="auto" w:sz="4" w:space="0"/>
              <w:right w:val="single" w:color="auto" w:sz="4" w:space="0"/>
            </w:tcBorders>
            <w:shd w:val="clear" w:color="000000" w:fill="FFFFFF"/>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合计</w:t>
            </w:r>
          </w:p>
        </w:tc>
        <w:tc>
          <w:tcPr>
            <w:tcW w:w="1958" w:type="dxa"/>
            <w:tcBorders>
              <w:top w:val="nil"/>
              <w:left w:val="nil"/>
              <w:bottom w:val="single" w:color="auto" w:sz="4" w:space="0"/>
              <w:right w:val="single" w:color="auto" w:sz="4" w:space="0"/>
            </w:tcBorders>
            <w:shd w:val="clear" w:color="000000" w:fill="FFFFFF"/>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　</w:t>
            </w:r>
          </w:p>
        </w:tc>
        <w:tc>
          <w:tcPr>
            <w:tcW w:w="1306" w:type="dxa"/>
            <w:tcBorders>
              <w:top w:val="nil"/>
              <w:left w:val="nil"/>
              <w:bottom w:val="single" w:color="auto" w:sz="4" w:space="0"/>
              <w:right w:val="single" w:color="auto" w:sz="4" w:space="0"/>
            </w:tcBorders>
            <w:shd w:val="clear" w:color="000000" w:fill="FFFFFF"/>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　</w:t>
            </w:r>
          </w:p>
        </w:tc>
        <w:tc>
          <w:tcPr>
            <w:tcW w:w="1272" w:type="dxa"/>
            <w:tcBorders>
              <w:top w:val="nil"/>
              <w:left w:val="nil"/>
              <w:bottom w:val="single" w:color="auto" w:sz="4" w:space="0"/>
              <w:right w:val="single" w:color="auto" w:sz="4" w:space="0"/>
            </w:tcBorders>
            <w:shd w:val="clear" w:color="000000" w:fill="FFFFFF"/>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520</w:t>
            </w:r>
          </w:p>
        </w:tc>
        <w:tc>
          <w:tcPr>
            <w:tcW w:w="1321" w:type="dxa"/>
            <w:tcBorders>
              <w:top w:val="nil"/>
              <w:left w:val="nil"/>
              <w:bottom w:val="single" w:color="auto" w:sz="4" w:space="0"/>
              <w:right w:val="single" w:color="auto" w:sz="4" w:space="0"/>
            </w:tcBorders>
            <w:shd w:val="clear" w:color="000000" w:fill="FFFFFF"/>
            <w:vAlign w:val="bottom"/>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259</w:t>
            </w:r>
          </w:p>
        </w:tc>
        <w:tc>
          <w:tcPr>
            <w:tcW w:w="1275" w:type="dxa"/>
            <w:tcBorders>
              <w:top w:val="single" w:color="auto" w:sz="4" w:space="0"/>
              <w:left w:val="nil"/>
              <w:bottom w:val="single" w:color="auto" w:sz="4" w:space="0"/>
              <w:right w:val="single" w:color="auto" w:sz="4" w:space="0"/>
            </w:tcBorders>
            <w:shd w:val="clear" w:color="000000" w:fill="FFFFFF"/>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24</w:t>
            </w:r>
          </w:p>
        </w:tc>
        <w:tc>
          <w:tcPr>
            <w:tcW w:w="1418" w:type="dxa"/>
            <w:tcBorders>
              <w:top w:val="single" w:color="auto" w:sz="4" w:space="0"/>
              <w:left w:val="single" w:color="auto" w:sz="4" w:space="0"/>
              <w:bottom w:val="single" w:color="auto" w:sz="4" w:space="0"/>
              <w:right w:val="single" w:color="auto" w:sz="4" w:space="0"/>
            </w:tcBorders>
            <w:shd w:val="clear" w:color="000000" w:fill="FFFFFF"/>
          </w:tcPr>
          <w:p>
            <w:pPr>
              <w:widowControl/>
              <w:spacing w:line="480" w:lineRule="exact"/>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24</w:t>
            </w:r>
          </w:p>
        </w:tc>
      </w:tr>
    </w:tbl>
    <w:p>
      <w:pPr>
        <w:jc w:val="left"/>
      </w:pPr>
    </w:p>
    <w:p>
      <w:pPr>
        <w:pStyle w:val="3"/>
        <w:pageBreakBefore/>
        <w:spacing w:line="415" w:lineRule="auto"/>
      </w:pPr>
      <w:bookmarkStart w:id="5" w:name="_Toc45607926"/>
      <w:r>
        <w:rPr>
          <w:rFonts w:hint="eastAsia"/>
        </w:rPr>
        <w:t>1.5监控点分布</w:t>
      </w:r>
      <w:bookmarkEnd w:id="5"/>
    </w:p>
    <w:tbl>
      <w:tblPr>
        <w:tblStyle w:val="12"/>
        <w:tblW w:w="6819" w:type="dxa"/>
        <w:tblInd w:w="93" w:type="dxa"/>
        <w:tblLayout w:type="autofit"/>
        <w:tblCellMar>
          <w:top w:w="0" w:type="dxa"/>
          <w:left w:w="108" w:type="dxa"/>
          <w:bottom w:w="0" w:type="dxa"/>
          <w:right w:w="108" w:type="dxa"/>
        </w:tblCellMar>
      </w:tblPr>
      <w:tblGrid>
        <w:gridCol w:w="1160"/>
        <w:gridCol w:w="1320"/>
        <w:gridCol w:w="2071"/>
        <w:gridCol w:w="2268"/>
      </w:tblGrid>
      <w:tr>
        <w:tblPrEx>
          <w:tblCellMar>
            <w:top w:w="0" w:type="dxa"/>
            <w:left w:w="108" w:type="dxa"/>
            <w:bottom w:w="0" w:type="dxa"/>
            <w:right w:w="108" w:type="dxa"/>
          </w:tblCellMar>
        </w:tblPrEx>
        <w:trPr>
          <w:trHeight w:val="441" w:hRule="atLeast"/>
        </w:trPr>
        <w:tc>
          <w:tcPr>
            <w:tcW w:w="11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楼层</w:t>
            </w:r>
          </w:p>
        </w:tc>
        <w:tc>
          <w:tcPr>
            <w:tcW w:w="13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位置名称</w:t>
            </w:r>
          </w:p>
        </w:tc>
        <w:tc>
          <w:tcPr>
            <w:tcW w:w="20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sz w:val="20"/>
              </w:rPr>
              <w:t>200万星光级日夜型半球型网络摄像机</w:t>
            </w:r>
          </w:p>
        </w:tc>
        <w:tc>
          <w:tcPr>
            <w:tcW w:w="2268" w:type="dxa"/>
            <w:tcBorders>
              <w:top w:val="single" w:color="auto" w:sz="4" w:space="0"/>
              <w:left w:val="nil"/>
              <w:bottom w:val="single" w:color="auto" w:sz="4" w:space="0"/>
              <w:right w:val="single" w:color="auto" w:sz="4" w:space="0"/>
            </w:tcBorders>
            <w:shd w:val="clear" w:color="auto" w:fill="auto"/>
            <w:vAlign w:val="center"/>
          </w:tcPr>
          <w:p>
            <w:pPr>
              <w:rPr>
                <w:rFonts w:ascii="微软雅黑 Light" w:hAnsi="宋体" w:eastAsia="微软雅黑 Light"/>
                <w:sz w:val="20"/>
              </w:rPr>
            </w:pPr>
            <w:r>
              <w:rPr>
                <w:rFonts w:hint="eastAsia" w:ascii="微软雅黑 Light" w:hAnsi="宋体" w:eastAsia="微软雅黑 Light"/>
                <w:sz w:val="20"/>
              </w:rPr>
              <w:t>200万星光级红外阵列筒型网络摄像机</w:t>
            </w:r>
          </w:p>
        </w:tc>
      </w:tr>
      <w:tr>
        <w:tblPrEx>
          <w:tblCellMar>
            <w:top w:w="0" w:type="dxa"/>
            <w:left w:w="108" w:type="dxa"/>
            <w:bottom w:w="0" w:type="dxa"/>
            <w:right w:w="108" w:type="dxa"/>
          </w:tblCellMar>
        </w:tblPrEx>
        <w:trPr>
          <w:trHeight w:val="441" w:hRule="atLeast"/>
        </w:trPr>
        <w:tc>
          <w:tcPr>
            <w:tcW w:w="11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室外</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室外</w:t>
            </w:r>
          </w:p>
        </w:tc>
        <w:tc>
          <w:tcPr>
            <w:tcW w:w="2071"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p>
        </w:tc>
        <w:tc>
          <w:tcPr>
            <w:tcW w:w="2268" w:type="dxa"/>
            <w:tcBorders>
              <w:top w:val="nil"/>
              <w:left w:val="nil"/>
              <w:bottom w:val="single" w:color="auto" w:sz="4" w:space="0"/>
              <w:right w:val="single" w:color="auto" w:sz="4" w:space="0"/>
            </w:tcBorders>
            <w:shd w:val="clear" w:color="000000" w:fill="FFFFFF"/>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8</w:t>
            </w:r>
          </w:p>
        </w:tc>
      </w:tr>
      <w:tr>
        <w:tblPrEx>
          <w:tblCellMar>
            <w:top w:w="0" w:type="dxa"/>
            <w:left w:w="108" w:type="dxa"/>
            <w:bottom w:w="0" w:type="dxa"/>
            <w:right w:w="108" w:type="dxa"/>
          </w:tblCellMar>
        </w:tblPrEx>
        <w:trPr>
          <w:trHeight w:val="441" w:hRule="atLeast"/>
        </w:trPr>
        <w:tc>
          <w:tcPr>
            <w:tcW w:w="11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一楼</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过道</w:t>
            </w:r>
          </w:p>
        </w:tc>
        <w:tc>
          <w:tcPr>
            <w:tcW w:w="2071"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9</w:t>
            </w:r>
          </w:p>
        </w:tc>
        <w:tc>
          <w:tcPr>
            <w:tcW w:w="2268" w:type="dxa"/>
            <w:tcBorders>
              <w:top w:val="nil"/>
              <w:left w:val="nil"/>
              <w:bottom w:val="single" w:color="auto" w:sz="4" w:space="0"/>
              <w:right w:val="single" w:color="auto" w:sz="4" w:space="0"/>
            </w:tcBorders>
            <w:shd w:val="clear" w:color="000000" w:fill="FFFFFF"/>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3</w:t>
            </w:r>
          </w:p>
        </w:tc>
      </w:tr>
      <w:tr>
        <w:tblPrEx>
          <w:tblCellMar>
            <w:top w:w="0" w:type="dxa"/>
            <w:left w:w="108" w:type="dxa"/>
            <w:bottom w:w="0" w:type="dxa"/>
            <w:right w:w="108" w:type="dxa"/>
          </w:tblCellMar>
        </w:tblPrEx>
        <w:trPr>
          <w:trHeight w:val="441" w:hRule="atLeast"/>
        </w:trPr>
        <w:tc>
          <w:tcPr>
            <w:tcW w:w="1160" w:type="dxa"/>
            <w:tcBorders>
              <w:top w:val="nil"/>
              <w:left w:val="single" w:color="auto" w:sz="4" w:space="0"/>
              <w:bottom w:val="nil"/>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二楼</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过道</w:t>
            </w:r>
          </w:p>
        </w:tc>
        <w:tc>
          <w:tcPr>
            <w:tcW w:w="2071"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7</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　</w:t>
            </w:r>
          </w:p>
        </w:tc>
      </w:tr>
      <w:tr>
        <w:tblPrEx>
          <w:tblCellMar>
            <w:top w:w="0" w:type="dxa"/>
            <w:left w:w="108" w:type="dxa"/>
            <w:bottom w:w="0" w:type="dxa"/>
            <w:right w:w="108" w:type="dxa"/>
          </w:tblCellMar>
        </w:tblPrEx>
        <w:trPr>
          <w:trHeight w:val="441" w:hRule="atLeast"/>
        </w:trPr>
        <w:tc>
          <w:tcPr>
            <w:tcW w:w="116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三楼</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过道</w:t>
            </w:r>
          </w:p>
        </w:tc>
        <w:tc>
          <w:tcPr>
            <w:tcW w:w="2071"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7</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　</w:t>
            </w:r>
          </w:p>
        </w:tc>
      </w:tr>
      <w:tr>
        <w:tblPrEx>
          <w:tblCellMar>
            <w:top w:w="0" w:type="dxa"/>
            <w:left w:w="108" w:type="dxa"/>
            <w:bottom w:w="0" w:type="dxa"/>
            <w:right w:w="108" w:type="dxa"/>
          </w:tblCellMar>
        </w:tblPrEx>
        <w:trPr>
          <w:trHeight w:val="441" w:hRule="atLeast"/>
        </w:trPr>
        <w:tc>
          <w:tcPr>
            <w:tcW w:w="116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四楼</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过道</w:t>
            </w:r>
          </w:p>
        </w:tc>
        <w:tc>
          <w:tcPr>
            <w:tcW w:w="2071"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7</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　</w:t>
            </w:r>
          </w:p>
        </w:tc>
      </w:tr>
      <w:tr>
        <w:tblPrEx>
          <w:tblCellMar>
            <w:top w:w="0" w:type="dxa"/>
            <w:left w:w="108" w:type="dxa"/>
            <w:bottom w:w="0" w:type="dxa"/>
            <w:right w:w="108" w:type="dxa"/>
          </w:tblCellMar>
        </w:tblPrEx>
        <w:trPr>
          <w:trHeight w:val="441" w:hRule="atLeast"/>
        </w:trPr>
        <w:tc>
          <w:tcPr>
            <w:tcW w:w="116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五楼</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过道</w:t>
            </w:r>
          </w:p>
        </w:tc>
        <w:tc>
          <w:tcPr>
            <w:tcW w:w="2071"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7</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　</w:t>
            </w:r>
          </w:p>
        </w:tc>
      </w:tr>
      <w:tr>
        <w:tblPrEx>
          <w:tblCellMar>
            <w:top w:w="0" w:type="dxa"/>
            <w:left w:w="108" w:type="dxa"/>
            <w:bottom w:w="0" w:type="dxa"/>
            <w:right w:w="108" w:type="dxa"/>
          </w:tblCellMar>
        </w:tblPrEx>
        <w:trPr>
          <w:trHeight w:val="441" w:hRule="atLeast"/>
        </w:trPr>
        <w:tc>
          <w:tcPr>
            <w:tcW w:w="116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六楼</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过道</w:t>
            </w:r>
          </w:p>
        </w:tc>
        <w:tc>
          <w:tcPr>
            <w:tcW w:w="2071"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7</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　</w:t>
            </w:r>
          </w:p>
        </w:tc>
      </w:tr>
      <w:tr>
        <w:tblPrEx>
          <w:tblCellMar>
            <w:top w:w="0" w:type="dxa"/>
            <w:left w:w="108" w:type="dxa"/>
            <w:bottom w:w="0" w:type="dxa"/>
            <w:right w:w="108" w:type="dxa"/>
          </w:tblCellMar>
        </w:tblPrEx>
        <w:trPr>
          <w:trHeight w:val="441" w:hRule="atLeast"/>
        </w:trPr>
        <w:tc>
          <w:tcPr>
            <w:tcW w:w="116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合计</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55</w:t>
            </w:r>
          </w:p>
        </w:tc>
        <w:tc>
          <w:tcPr>
            <w:tcW w:w="2071" w:type="dxa"/>
            <w:tcBorders>
              <w:top w:val="nil"/>
              <w:left w:val="nil"/>
              <w:bottom w:val="single" w:color="auto" w:sz="4" w:space="0"/>
              <w:right w:val="single" w:color="auto" w:sz="4" w:space="0"/>
            </w:tcBorders>
            <w:shd w:val="clear" w:color="000000" w:fill="FFFFFF"/>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44</w:t>
            </w:r>
          </w:p>
        </w:tc>
        <w:tc>
          <w:tcPr>
            <w:tcW w:w="2268" w:type="dxa"/>
            <w:tcBorders>
              <w:top w:val="nil"/>
              <w:left w:val="nil"/>
              <w:bottom w:val="single" w:color="auto" w:sz="4" w:space="0"/>
              <w:right w:val="single" w:color="auto" w:sz="4" w:space="0"/>
            </w:tcBorders>
            <w:shd w:val="clear" w:color="000000" w:fill="FFFFFF"/>
            <w:vAlign w:val="center"/>
          </w:tcPr>
          <w:p>
            <w:pPr>
              <w:widowControl/>
              <w:jc w:val="center"/>
              <w:rPr>
                <w:rFonts w:ascii="微软雅黑 Light" w:hAnsi="宋体" w:eastAsia="微软雅黑 Light" w:cs="宋体"/>
                <w:color w:val="000000"/>
                <w:kern w:val="0"/>
                <w:szCs w:val="21"/>
              </w:rPr>
            </w:pPr>
            <w:r>
              <w:rPr>
                <w:rFonts w:hint="eastAsia" w:ascii="微软雅黑 Light" w:hAnsi="宋体" w:eastAsia="微软雅黑 Light" w:cs="宋体"/>
                <w:color w:val="000000"/>
                <w:kern w:val="0"/>
                <w:szCs w:val="21"/>
              </w:rPr>
              <w:t>11</w:t>
            </w:r>
          </w:p>
        </w:tc>
      </w:tr>
    </w:tbl>
    <w:p/>
    <w:p>
      <w:pPr>
        <w:pStyle w:val="3"/>
        <w:pageBreakBefore/>
        <w:spacing w:line="415" w:lineRule="auto"/>
      </w:pPr>
      <w:bookmarkStart w:id="6" w:name="_Toc45607927"/>
      <w:r>
        <w:rPr>
          <w:rFonts w:hint="eastAsia"/>
        </w:rPr>
        <w:t>1.6光纤布线分布</w:t>
      </w:r>
      <w:bookmarkEnd w:id="6"/>
    </w:p>
    <w:tbl>
      <w:tblPr>
        <w:tblStyle w:val="12"/>
        <w:tblW w:w="9356" w:type="dxa"/>
        <w:tblInd w:w="-601" w:type="dxa"/>
        <w:tblLayout w:type="fixed"/>
        <w:tblCellMar>
          <w:top w:w="0" w:type="dxa"/>
          <w:left w:w="108" w:type="dxa"/>
          <w:bottom w:w="0" w:type="dxa"/>
          <w:right w:w="108" w:type="dxa"/>
        </w:tblCellMar>
      </w:tblPr>
      <w:tblGrid>
        <w:gridCol w:w="709"/>
        <w:gridCol w:w="3119"/>
        <w:gridCol w:w="2126"/>
        <w:gridCol w:w="1559"/>
        <w:gridCol w:w="1843"/>
      </w:tblGrid>
      <w:tr>
        <w:tblPrEx>
          <w:tblCellMar>
            <w:top w:w="0" w:type="dxa"/>
            <w:left w:w="108" w:type="dxa"/>
            <w:bottom w:w="0" w:type="dxa"/>
            <w:right w:w="108" w:type="dxa"/>
          </w:tblCellMar>
        </w:tblPrEx>
        <w:trPr>
          <w:trHeight w:val="300" w:hRule="atLeast"/>
        </w:trPr>
        <w:tc>
          <w:tcPr>
            <w:tcW w:w="70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等?" w:hAnsi="等?" w:eastAsia="等?"/>
                <w:color w:val="000000"/>
                <w:kern w:val="0"/>
                <w:sz w:val="22"/>
              </w:rPr>
            </w:pPr>
            <w:r>
              <w:rPr>
                <w:rFonts w:hint="eastAsia" w:ascii="等?" w:hAnsi="等?" w:eastAsia="等?"/>
                <w:color w:val="000000"/>
                <w:kern w:val="0"/>
                <w:sz w:val="22"/>
              </w:rPr>
              <w:t>序号</w:t>
            </w:r>
          </w:p>
        </w:tc>
        <w:tc>
          <w:tcPr>
            <w:tcW w:w="3119" w:type="dxa"/>
            <w:tcBorders>
              <w:top w:val="single" w:color="auto" w:sz="4" w:space="0"/>
              <w:left w:val="nil"/>
              <w:bottom w:val="single" w:color="auto" w:sz="4" w:space="0"/>
              <w:right w:val="single" w:color="auto" w:sz="4" w:space="0"/>
            </w:tcBorders>
          </w:tcPr>
          <w:p>
            <w:pPr>
              <w:widowControl/>
              <w:jc w:val="center"/>
              <w:rPr>
                <w:rFonts w:ascii="等?" w:hAnsi="等?"/>
                <w:color w:val="000000"/>
                <w:kern w:val="0"/>
                <w:sz w:val="22"/>
              </w:rPr>
            </w:pPr>
            <w:r>
              <w:rPr>
                <w:rFonts w:hint="eastAsia" w:ascii="等?" w:hAnsi="等?"/>
                <w:color w:val="000000"/>
                <w:kern w:val="0"/>
                <w:sz w:val="22"/>
              </w:rPr>
              <w:t>用途</w:t>
            </w:r>
          </w:p>
        </w:tc>
        <w:tc>
          <w:tcPr>
            <w:tcW w:w="2126" w:type="dxa"/>
            <w:tcBorders>
              <w:top w:val="single" w:color="auto" w:sz="4" w:space="0"/>
              <w:left w:val="single" w:color="auto" w:sz="4" w:space="0"/>
              <w:bottom w:val="single" w:color="auto" w:sz="4" w:space="0"/>
              <w:right w:val="single" w:color="auto" w:sz="4" w:space="0"/>
            </w:tcBorders>
            <w:vAlign w:val="bottom"/>
          </w:tcPr>
          <w:p>
            <w:pPr>
              <w:widowControl/>
              <w:jc w:val="center"/>
              <w:rPr>
                <w:rFonts w:ascii="等?" w:hAnsi="等?" w:eastAsia="等?"/>
                <w:color w:val="000000"/>
                <w:kern w:val="0"/>
                <w:sz w:val="22"/>
              </w:rPr>
            </w:pPr>
            <w:r>
              <w:rPr>
                <w:rFonts w:hint="eastAsia" w:ascii="等?" w:hAnsi="等?"/>
                <w:color w:val="000000"/>
                <w:kern w:val="0"/>
                <w:sz w:val="22"/>
              </w:rPr>
              <w:t>开</w:t>
            </w:r>
            <w:r>
              <w:rPr>
                <w:rFonts w:hint="eastAsia" w:ascii="等?" w:hAnsi="等?" w:eastAsia="等?"/>
                <w:color w:val="000000"/>
                <w:kern w:val="0"/>
                <w:sz w:val="22"/>
              </w:rPr>
              <w:t>始位置</w:t>
            </w:r>
          </w:p>
        </w:tc>
        <w:tc>
          <w:tcPr>
            <w:tcW w:w="1559" w:type="dxa"/>
            <w:tcBorders>
              <w:top w:val="single" w:color="auto" w:sz="4" w:space="0"/>
              <w:left w:val="nil"/>
              <w:bottom w:val="single" w:color="auto" w:sz="4" w:space="0"/>
              <w:right w:val="single" w:color="auto" w:sz="4" w:space="0"/>
            </w:tcBorders>
            <w:vAlign w:val="bottom"/>
          </w:tcPr>
          <w:p>
            <w:pPr>
              <w:widowControl/>
              <w:jc w:val="center"/>
              <w:rPr>
                <w:rFonts w:ascii="等?" w:hAnsi="等?" w:eastAsia="等?"/>
                <w:color w:val="000000"/>
                <w:kern w:val="0"/>
                <w:sz w:val="22"/>
              </w:rPr>
            </w:pPr>
            <w:r>
              <w:rPr>
                <w:rFonts w:hint="eastAsia" w:ascii="等?" w:hAnsi="等?" w:eastAsia="等?"/>
                <w:color w:val="000000"/>
                <w:kern w:val="0"/>
                <w:sz w:val="22"/>
              </w:rPr>
              <w:t>末端</w:t>
            </w:r>
          </w:p>
        </w:tc>
        <w:tc>
          <w:tcPr>
            <w:tcW w:w="1843" w:type="dxa"/>
            <w:tcBorders>
              <w:top w:val="single" w:color="auto" w:sz="4" w:space="0"/>
              <w:left w:val="nil"/>
              <w:bottom w:val="single" w:color="auto" w:sz="4" w:space="0"/>
              <w:right w:val="single" w:color="auto" w:sz="4" w:space="0"/>
            </w:tcBorders>
            <w:vAlign w:val="bottom"/>
          </w:tcPr>
          <w:p>
            <w:pPr>
              <w:widowControl/>
              <w:jc w:val="center"/>
              <w:rPr>
                <w:rFonts w:ascii="等?" w:hAnsi="等?" w:eastAsia="等?"/>
                <w:color w:val="000000"/>
                <w:kern w:val="0"/>
                <w:sz w:val="22"/>
              </w:rPr>
            </w:pPr>
            <w:r>
              <w:rPr>
                <w:rFonts w:hint="eastAsia" w:ascii="等?" w:hAnsi="等?" w:eastAsia="等?"/>
                <w:color w:val="000000"/>
                <w:kern w:val="0"/>
                <w:sz w:val="22"/>
              </w:rPr>
              <w:t>规格</w:t>
            </w:r>
          </w:p>
        </w:tc>
      </w:tr>
      <w:tr>
        <w:tblPrEx>
          <w:tblCellMar>
            <w:top w:w="0" w:type="dxa"/>
            <w:left w:w="108" w:type="dxa"/>
            <w:bottom w:w="0" w:type="dxa"/>
            <w:right w:w="108" w:type="dxa"/>
          </w:tblCellMar>
        </w:tblPrEx>
        <w:trPr>
          <w:trHeight w:val="300" w:hRule="atLeast"/>
        </w:trPr>
        <w:tc>
          <w:tcPr>
            <w:tcW w:w="70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1</w:t>
            </w:r>
          </w:p>
        </w:tc>
        <w:tc>
          <w:tcPr>
            <w:tcW w:w="3119" w:type="dxa"/>
            <w:tcBorders>
              <w:top w:val="single" w:color="auto" w:sz="4" w:space="0"/>
              <w:left w:val="nil"/>
              <w:bottom w:val="single" w:color="auto" w:sz="4" w:space="0"/>
              <w:right w:val="single" w:color="auto" w:sz="4" w:space="0"/>
            </w:tcBorders>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校园网主网接入（万兆上联）</w:t>
            </w:r>
          </w:p>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有线、分体式AP、高密AP、监控单独光路接入一楼汇聚交换机</w:t>
            </w:r>
          </w:p>
        </w:tc>
        <w:tc>
          <w:tcPr>
            <w:tcW w:w="2126"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文园</w:t>
            </w:r>
            <w:r>
              <w:rPr>
                <w:rFonts w:ascii="微软雅黑 Light" w:hAnsi="微软雅黑 Light" w:eastAsia="微软雅黑 Light" w:cs="微软雅黑 Light"/>
                <w:color w:val="000000"/>
                <w:kern w:val="0"/>
                <w:szCs w:val="21"/>
              </w:rPr>
              <w:t>5</w:t>
            </w:r>
            <w:r>
              <w:rPr>
                <w:rFonts w:hint="eastAsia" w:ascii="微软雅黑 Light" w:hAnsi="微软雅黑 Light" w:eastAsia="微软雅黑 Light" w:cs="微软雅黑 Light"/>
                <w:color w:val="000000"/>
                <w:kern w:val="0"/>
                <w:szCs w:val="21"/>
              </w:rPr>
              <w:t>栋</w:t>
            </w:r>
            <w:r>
              <w:rPr>
                <w:rFonts w:ascii="微软雅黑 Light" w:hAnsi="微软雅黑 Light" w:eastAsia="微软雅黑 Light" w:cs="微软雅黑 Light"/>
                <w:color w:val="000000"/>
                <w:kern w:val="0"/>
                <w:szCs w:val="21"/>
              </w:rPr>
              <w:t>1F</w:t>
            </w:r>
          </w:p>
        </w:tc>
        <w:tc>
          <w:tcPr>
            <w:tcW w:w="1559"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1F</w:t>
            </w:r>
          </w:p>
        </w:tc>
        <w:tc>
          <w:tcPr>
            <w:tcW w:w="1843"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24芯室外单模</w:t>
            </w:r>
          </w:p>
        </w:tc>
      </w:tr>
      <w:tr>
        <w:tblPrEx>
          <w:tblCellMar>
            <w:top w:w="0" w:type="dxa"/>
            <w:left w:w="108" w:type="dxa"/>
            <w:bottom w:w="0" w:type="dxa"/>
            <w:right w:w="108" w:type="dxa"/>
          </w:tblCellMar>
        </w:tblPrEx>
        <w:trPr>
          <w:trHeight w:val="300" w:hRule="atLeast"/>
        </w:trPr>
        <w:tc>
          <w:tcPr>
            <w:tcW w:w="70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w:t>
            </w:r>
          </w:p>
        </w:tc>
        <w:tc>
          <w:tcPr>
            <w:tcW w:w="3119" w:type="dxa"/>
            <w:tcBorders>
              <w:top w:val="single" w:color="auto" w:sz="4" w:space="0"/>
              <w:left w:val="nil"/>
              <w:bottom w:val="single" w:color="auto" w:sz="4" w:space="0"/>
              <w:right w:val="single" w:color="auto" w:sz="4" w:space="0"/>
            </w:tcBorders>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监控平台主缆接入</w:t>
            </w:r>
          </w:p>
        </w:tc>
        <w:tc>
          <w:tcPr>
            <w:tcW w:w="2126"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新图书馆</w:t>
            </w:r>
          </w:p>
        </w:tc>
        <w:tc>
          <w:tcPr>
            <w:tcW w:w="1559"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1F</w:t>
            </w:r>
          </w:p>
        </w:tc>
        <w:tc>
          <w:tcPr>
            <w:tcW w:w="1843"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24芯室外单模</w:t>
            </w:r>
          </w:p>
        </w:tc>
      </w:tr>
      <w:tr>
        <w:tblPrEx>
          <w:tblCellMar>
            <w:top w:w="0" w:type="dxa"/>
            <w:left w:w="108" w:type="dxa"/>
            <w:bottom w:w="0" w:type="dxa"/>
            <w:right w:w="108" w:type="dxa"/>
          </w:tblCellMar>
        </w:tblPrEx>
        <w:trPr>
          <w:trHeight w:val="300" w:hRule="atLeast"/>
        </w:trPr>
        <w:tc>
          <w:tcPr>
            <w:tcW w:w="70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3</w:t>
            </w:r>
          </w:p>
        </w:tc>
        <w:tc>
          <w:tcPr>
            <w:tcW w:w="3119" w:type="dxa"/>
            <w:tcBorders>
              <w:top w:val="single" w:color="auto" w:sz="4" w:space="0"/>
              <w:left w:val="nil"/>
              <w:bottom w:val="single" w:color="auto" w:sz="4" w:space="0"/>
              <w:right w:val="single" w:color="auto" w:sz="4" w:space="0"/>
            </w:tcBorders>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有线、分体式AP、高密AP单独光路接入一楼弱电间</w:t>
            </w:r>
          </w:p>
        </w:tc>
        <w:tc>
          <w:tcPr>
            <w:tcW w:w="2126"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1F</w:t>
            </w:r>
          </w:p>
        </w:tc>
        <w:tc>
          <w:tcPr>
            <w:tcW w:w="1559"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2F</w:t>
            </w:r>
          </w:p>
        </w:tc>
        <w:tc>
          <w:tcPr>
            <w:tcW w:w="1843"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24芯室内单模</w:t>
            </w:r>
          </w:p>
        </w:tc>
      </w:tr>
      <w:tr>
        <w:tblPrEx>
          <w:tblCellMar>
            <w:top w:w="0" w:type="dxa"/>
            <w:left w:w="108" w:type="dxa"/>
            <w:bottom w:w="0" w:type="dxa"/>
            <w:right w:w="108" w:type="dxa"/>
          </w:tblCellMar>
        </w:tblPrEx>
        <w:trPr>
          <w:trHeight w:val="300" w:hRule="atLeast"/>
        </w:trPr>
        <w:tc>
          <w:tcPr>
            <w:tcW w:w="70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4</w:t>
            </w:r>
          </w:p>
        </w:tc>
        <w:tc>
          <w:tcPr>
            <w:tcW w:w="3119" w:type="dxa"/>
            <w:tcBorders>
              <w:top w:val="single" w:color="auto" w:sz="4" w:space="0"/>
              <w:left w:val="nil"/>
              <w:bottom w:val="single" w:color="auto" w:sz="4" w:space="0"/>
              <w:right w:val="single" w:color="auto" w:sz="4" w:space="0"/>
            </w:tcBorders>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有线、分体式AP、高密AP单独光路接入一楼弱电间</w:t>
            </w:r>
          </w:p>
        </w:tc>
        <w:tc>
          <w:tcPr>
            <w:tcW w:w="2126"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1F</w:t>
            </w:r>
          </w:p>
        </w:tc>
        <w:tc>
          <w:tcPr>
            <w:tcW w:w="1559"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3F</w:t>
            </w:r>
          </w:p>
        </w:tc>
        <w:tc>
          <w:tcPr>
            <w:tcW w:w="1843"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24芯室内单模</w:t>
            </w:r>
          </w:p>
        </w:tc>
      </w:tr>
      <w:tr>
        <w:tblPrEx>
          <w:tblCellMar>
            <w:top w:w="0" w:type="dxa"/>
            <w:left w:w="108" w:type="dxa"/>
            <w:bottom w:w="0" w:type="dxa"/>
            <w:right w:w="108" w:type="dxa"/>
          </w:tblCellMar>
        </w:tblPrEx>
        <w:trPr>
          <w:trHeight w:val="300" w:hRule="atLeast"/>
        </w:trPr>
        <w:tc>
          <w:tcPr>
            <w:tcW w:w="70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5</w:t>
            </w:r>
          </w:p>
        </w:tc>
        <w:tc>
          <w:tcPr>
            <w:tcW w:w="3119" w:type="dxa"/>
            <w:tcBorders>
              <w:top w:val="single" w:color="auto" w:sz="4" w:space="0"/>
              <w:left w:val="nil"/>
              <w:bottom w:val="single" w:color="auto" w:sz="4" w:space="0"/>
              <w:right w:val="single" w:color="auto" w:sz="4" w:space="0"/>
            </w:tcBorders>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有线、分体式AP、高密AP、监控单独接入一楼弱电间</w:t>
            </w:r>
          </w:p>
        </w:tc>
        <w:tc>
          <w:tcPr>
            <w:tcW w:w="2126"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1F</w:t>
            </w:r>
          </w:p>
        </w:tc>
        <w:tc>
          <w:tcPr>
            <w:tcW w:w="1559"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4F</w:t>
            </w:r>
          </w:p>
        </w:tc>
        <w:tc>
          <w:tcPr>
            <w:tcW w:w="1843"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24芯室内单模</w:t>
            </w:r>
          </w:p>
        </w:tc>
      </w:tr>
      <w:tr>
        <w:tblPrEx>
          <w:tblCellMar>
            <w:top w:w="0" w:type="dxa"/>
            <w:left w:w="108" w:type="dxa"/>
            <w:bottom w:w="0" w:type="dxa"/>
            <w:right w:w="108" w:type="dxa"/>
          </w:tblCellMar>
        </w:tblPrEx>
        <w:trPr>
          <w:trHeight w:val="300" w:hRule="atLeast"/>
        </w:trPr>
        <w:tc>
          <w:tcPr>
            <w:tcW w:w="70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6</w:t>
            </w:r>
          </w:p>
        </w:tc>
        <w:tc>
          <w:tcPr>
            <w:tcW w:w="3119" w:type="dxa"/>
            <w:tcBorders>
              <w:top w:val="single" w:color="auto" w:sz="4" w:space="0"/>
              <w:left w:val="nil"/>
              <w:bottom w:val="single" w:color="auto" w:sz="4" w:space="0"/>
              <w:right w:val="single" w:color="auto" w:sz="4" w:space="0"/>
            </w:tcBorders>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有线、分体式AP、高密AP单独光路接入一楼弱电间</w:t>
            </w:r>
          </w:p>
        </w:tc>
        <w:tc>
          <w:tcPr>
            <w:tcW w:w="2126"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1F</w:t>
            </w:r>
          </w:p>
        </w:tc>
        <w:tc>
          <w:tcPr>
            <w:tcW w:w="1559"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5F</w:t>
            </w:r>
          </w:p>
        </w:tc>
        <w:tc>
          <w:tcPr>
            <w:tcW w:w="1843"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24芯室内单模</w:t>
            </w:r>
          </w:p>
        </w:tc>
      </w:tr>
      <w:tr>
        <w:tblPrEx>
          <w:tblCellMar>
            <w:top w:w="0" w:type="dxa"/>
            <w:left w:w="108" w:type="dxa"/>
            <w:bottom w:w="0" w:type="dxa"/>
            <w:right w:w="108" w:type="dxa"/>
          </w:tblCellMar>
        </w:tblPrEx>
        <w:trPr>
          <w:trHeight w:val="300" w:hRule="atLeast"/>
        </w:trPr>
        <w:tc>
          <w:tcPr>
            <w:tcW w:w="70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7</w:t>
            </w:r>
          </w:p>
        </w:tc>
        <w:tc>
          <w:tcPr>
            <w:tcW w:w="3119" w:type="dxa"/>
            <w:tcBorders>
              <w:top w:val="single" w:color="auto" w:sz="4" w:space="0"/>
              <w:left w:val="nil"/>
              <w:bottom w:val="single" w:color="auto" w:sz="4" w:space="0"/>
              <w:right w:val="single" w:color="auto" w:sz="4" w:space="0"/>
            </w:tcBorders>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有线、分体式AP、高密AP、监控单独光路接入一楼弱电间</w:t>
            </w:r>
          </w:p>
        </w:tc>
        <w:tc>
          <w:tcPr>
            <w:tcW w:w="2126"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1F</w:t>
            </w:r>
          </w:p>
        </w:tc>
        <w:tc>
          <w:tcPr>
            <w:tcW w:w="1559"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ascii="微软雅黑 Light" w:hAnsi="微软雅黑 Light" w:eastAsia="微软雅黑 Light" w:cs="微软雅黑 Light"/>
                <w:color w:val="000000"/>
                <w:kern w:val="0"/>
                <w:szCs w:val="21"/>
              </w:rPr>
              <w:t>2</w:t>
            </w:r>
            <w:r>
              <w:rPr>
                <w:rFonts w:hint="eastAsia" w:ascii="微软雅黑 Light" w:hAnsi="微软雅黑 Light" w:eastAsia="微软雅黑 Light" w:cs="微软雅黑 Light"/>
                <w:color w:val="000000"/>
                <w:kern w:val="0"/>
                <w:szCs w:val="21"/>
              </w:rPr>
              <w:t>3栋</w:t>
            </w:r>
            <w:r>
              <w:rPr>
                <w:rFonts w:ascii="微软雅黑 Light" w:hAnsi="微软雅黑 Light" w:eastAsia="微软雅黑 Light" w:cs="微软雅黑 Light"/>
                <w:color w:val="000000"/>
                <w:kern w:val="0"/>
                <w:szCs w:val="21"/>
              </w:rPr>
              <w:t>6F</w:t>
            </w:r>
          </w:p>
        </w:tc>
        <w:tc>
          <w:tcPr>
            <w:tcW w:w="1843" w:type="dxa"/>
            <w:tcBorders>
              <w:top w:val="single" w:color="auto" w:sz="4" w:space="0"/>
              <w:left w:val="nil"/>
              <w:bottom w:val="single" w:color="auto" w:sz="4" w:space="0"/>
              <w:right w:val="single" w:color="auto" w:sz="4" w:space="0"/>
            </w:tcBorders>
            <w:vAlign w:val="bottom"/>
          </w:tcPr>
          <w:p>
            <w:pPr>
              <w:widowControl/>
              <w:jc w:val="center"/>
              <w:rPr>
                <w:rFonts w:ascii="微软雅黑 Light" w:hAnsi="微软雅黑 Light" w:eastAsia="微软雅黑 Light" w:cs="微软雅黑 Light"/>
                <w:color w:val="000000"/>
                <w:kern w:val="0"/>
                <w:szCs w:val="21"/>
              </w:rPr>
            </w:pPr>
            <w:r>
              <w:rPr>
                <w:rFonts w:hint="eastAsia" w:ascii="微软雅黑 Light" w:hAnsi="微软雅黑 Light" w:eastAsia="微软雅黑 Light" w:cs="微软雅黑 Light"/>
                <w:color w:val="000000"/>
                <w:kern w:val="0"/>
                <w:szCs w:val="21"/>
              </w:rPr>
              <w:t>24芯室内单模</w:t>
            </w:r>
          </w:p>
        </w:tc>
      </w:tr>
    </w:tbl>
    <w:p/>
    <w:p/>
    <w:p/>
    <w:p>
      <w:pPr>
        <w:pStyle w:val="2"/>
        <w:pageBreakBefore/>
      </w:pPr>
      <w:bookmarkStart w:id="7" w:name="_Toc45607928"/>
      <w:r>
        <w:rPr>
          <w:rFonts w:hint="eastAsia"/>
        </w:rPr>
        <w:t>二、主要设备技术要求</w:t>
      </w:r>
      <w:bookmarkEnd w:id="7"/>
    </w:p>
    <w:p>
      <w:pPr>
        <w:pStyle w:val="3"/>
      </w:pPr>
      <w:bookmarkStart w:id="8" w:name="_Toc45607929"/>
      <w:r>
        <w:rPr>
          <w:rFonts w:hint="eastAsia"/>
        </w:rPr>
        <w:t>2.1监控系统技术要求</w:t>
      </w:r>
      <w:bookmarkEnd w:id="8"/>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2.1.1建设目标</w:t>
      </w:r>
    </w:p>
    <w:p>
      <w:pPr>
        <w:spacing w:line="360" w:lineRule="auto"/>
        <w:ind w:firstLine="480" w:firstLineChars="200"/>
        <w:jc w:val="left"/>
        <w:rPr>
          <w:rFonts w:cs="微软雅黑 Light" w:asciiTheme="minorEastAsia" w:hAnsiTheme="minorEastAsia"/>
          <w:b/>
          <w:bCs/>
          <w:sz w:val="24"/>
          <w:szCs w:val="24"/>
        </w:rPr>
      </w:pPr>
      <w:r>
        <w:rPr>
          <w:rFonts w:hint="eastAsia" w:cs="微软雅黑 Light" w:asciiTheme="minorEastAsia" w:hAnsiTheme="minorEastAsia"/>
          <w:sz w:val="24"/>
          <w:szCs w:val="24"/>
        </w:rPr>
        <w:t>根据南京信息工程大学总体发展安排，以及本次新建</w:t>
      </w:r>
      <w:r>
        <w:rPr>
          <w:rFonts w:cs="微软雅黑 Light" w:asciiTheme="minorEastAsia" w:hAnsiTheme="minorEastAsia"/>
          <w:sz w:val="24"/>
          <w:szCs w:val="24"/>
        </w:rPr>
        <w:t>2</w:t>
      </w:r>
      <w:r>
        <w:rPr>
          <w:rFonts w:hint="eastAsia" w:cs="微软雅黑 Light" w:asciiTheme="minorEastAsia" w:hAnsiTheme="minorEastAsia"/>
          <w:sz w:val="24"/>
          <w:szCs w:val="24"/>
        </w:rPr>
        <w:t>3幢学生公寓的实际安防管理需要，本次建设主要对2</w:t>
      </w:r>
      <w:r>
        <w:rPr>
          <w:rFonts w:cs="微软雅黑 Light" w:asciiTheme="minorEastAsia" w:hAnsiTheme="minorEastAsia"/>
          <w:sz w:val="24"/>
          <w:szCs w:val="24"/>
        </w:rPr>
        <w:t>3</w:t>
      </w:r>
      <w:r>
        <w:rPr>
          <w:rFonts w:hint="eastAsia" w:cs="微软雅黑 Light" w:asciiTheme="minorEastAsia" w:hAnsiTheme="minorEastAsia"/>
          <w:sz w:val="24"/>
          <w:szCs w:val="24"/>
        </w:rPr>
        <w:t>栋学生公寓的出入口、走道建成高清视频监控以及相关存储服务设备、显示设备，</w:t>
      </w:r>
      <w:r>
        <w:rPr>
          <w:rFonts w:cs="微软雅黑 Light" w:asciiTheme="minorEastAsia" w:hAnsiTheme="minorEastAsia"/>
          <w:sz w:val="24"/>
          <w:szCs w:val="24"/>
        </w:rPr>
        <w:t xml:space="preserve"> </w:t>
      </w:r>
      <w:r>
        <w:rPr>
          <w:rFonts w:hint="eastAsia" w:cs="微软雅黑 Light" w:asciiTheme="minorEastAsia" w:hAnsiTheme="minorEastAsia"/>
          <w:sz w:val="24"/>
          <w:szCs w:val="24"/>
        </w:rPr>
        <w:t>所有图像在本地录像存储、显示的同时按照“统一规划、集中管理”的要求，所有图像需上传至校园安防监控专网，统一传输至校园安防综合管理平台，满足在校园监控指挥中心（新图书馆</w:t>
      </w:r>
      <w:r>
        <w:rPr>
          <w:rFonts w:cs="微软雅黑 Light" w:asciiTheme="minorEastAsia" w:hAnsiTheme="minorEastAsia"/>
          <w:sz w:val="24"/>
          <w:szCs w:val="24"/>
        </w:rPr>
        <w:t>1</w:t>
      </w:r>
      <w:r>
        <w:rPr>
          <w:rFonts w:hint="eastAsia" w:cs="微软雅黑 Light" w:asciiTheme="minorEastAsia" w:hAnsiTheme="minorEastAsia"/>
          <w:sz w:val="24"/>
          <w:szCs w:val="24"/>
        </w:rPr>
        <w:t>层），大屏上墙预览、录像回放、电子地图等功能。</w:t>
      </w:r>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2.1.2主要设备功能、性能、配置要求</w:t>
      </w:r>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１、系统实现功能要求</w:t>
      </w:r>
    </w:p>
    <w:p>
      <w:pPr>
        <w:spacing w:line="360" w:lineRule="auto"/>
        <w:ind w:firstLine="480" w:firstLineChars="200"/>
        <w:jc w:val="left"/>
        <w:rPr>
          <w:rFonts w:cs="微软雅黑 Light" w:asciiTheme="minorEastAsia" w:hAnsiTheme="minorEastAsia"/>
          <w:sz w:val="24"/>
          <w:szCs w:val="24"/>
        </w:rPr>
      </w:pPr>
      <w:r>
        <w:rPr>
          <w:rFonts w:hint="eastAsia" w:cs="微软雅黑 Light" w:asciiTheme="minorEastAsia" w:hAnsiTheme="minorEastAsia"/>
          <w:sz w:val="24"/>
          <w:szCs w:val="24"/>
        </w:rPr>
        <w:t>1)视频监控图像在值班室大屏显示，同时还需接入到校园监控指挥中心综合管理平台IVMS-9600;</w:t>
      </w:r>
    </w:p>
    <w:p>
      <w:pPr>
        <w:spacing w:line="360" w:lineRule="auto"/>
        <w:ind w:firstLine="480" w:firstLineChars="200"/>
        <w:jc w:val="left"/>
        <w:rPr>
          <w:rFonts w:cs="微软雅黑 Light" w:asciiTheme="minorEastAsia" w:hAnsiTheme="minorEastAsia"/>
          <w:sz w:val="24"/>
          <w:szCs w:val="24"/>
        </w:rPr>
      </w:pPr>
      <w:r>
        <w:rPr>
          <w:rFonts w:hint="eastAsia" w:cs="微软雅黑 Light" w:asciiTheme="minorEastAsia" w:hAnsiTheme="minorEastAsia"/>
          <w:sz w:val="24"/>
          <w:szCs w:val="24"/>
        </w:rPr>
        <w:t>2)监控系统本地存储时间需至少30天；</w:t>
      </w:r>
    </w:p>
    <w:p>
      <w:pPr>
        <w:spacing w:line="360" w:lineRule="auto"/>
        <w:ind w:firstLine="480" w:firstLineChars="200"/>
        <w:jc w:val="left"/>
        <w:rPr>
          <w:rFonts w:cs="微软雅黑 Light" w:asciiTheme="minorEastAsia" w:hAnsiTheme="minorEastAsia"/>
          <w:sz w:val="24"/>
          <w:szCs w:val="24"/>
        </w:rPr>
      </w:pPr>
      <w:r>
        <w:rPr>
          <w:rFonts w:hint="eastAsia" w:cs="微软雅黑 Light" w:asciiTheme="minorEastAsia" w:hAnsiTheme="minorEastAsia"/>
          <w:sz w:val="24"/>
          <w:szCs w:val="24"/>
        </w:rPr>
        <w:t>3）学生公寓内监控系统需进行统一单独供电，集中在一楼弱电间供电，并通过UPS电源管理系统进行电源保护。</w:t>
      </w:r>
    </w:p>
    <w:p>
      <w:pPr>
        <w:spacing w:line="360" w:lineRule="auto"/>
        <w:ind w:firstLine="480" w:firstLineChars="200"/>
        <w:jc w:val="left"/>
        <w:rPr>
          <w:rFonts w:cs="微软雅黑 Light" w:asciiTheme="minorEastAsia" w:hAnsiTheme="minorEastAsia"/>
          <w:sz w:val="24"/>
          <w:szCs w:val="24"/>
        </w:rPr>
      </w:pPr>
      <w:r>
        <w:rPr>
          <w:rFonts w:hint="eastAsia" w:cs="微软雅黑 Light" w:asciiTheme="minorEastAsia" w:hAnsiTheme="minorEastAsia"/>
          <w:sz w:val="24"/>
          <w:szCs w:val="24"/>
        </w:rPr>
        <w:t>4）新建监控平台和新安装的摄像机图像质量满足今后安防系统智能化应用的要求。（如图像侦测、行为分析等应用）</w:t>
      </w:r>
    </w:p>
    <w:p>
      <w:pPr>
        <w:ind w:firstLine="420" w:firstLineChars="200"/>
        <w:jc w:val="left"/>
        <w:rPr>
          <w:rFonts w:ascii="微软雅黑 Light" w:hAnsi="微软雅黑 Light" w:eastAsia="微软雅黑 Light" w:cs="微软雅黑 Light"/>
          <w:b/>
          <w:szCs w:val="21"/>
        </w:rPr>
      </w:pPr>
      <w:r>
        <w:rPr>
          <w:rFonts w:hint="eastAsia" w:ascii="微软雅黑 Light" w:hAnsi="微软雅黑 Light" w:eastAsia="微软雅黑 Light" w:cs="微软雅黑 Light"/>
          <w:b/>
          <w:szCs w:val="21"/>
        </w:rPr>
        <w:t>2、200万星光级筒型网络摄像机技术要求</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hint="eastAsia" w:ascii="宋体" w:hAnsi="宋体" w:cs="宋体"/>
                <w:sz w:val="20"/>
              </w:rPr>
              <w:t>实质性</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200万星光级1/2.7”CMOS ICR红外阵列筒型网络摄像机</w:t>
            </w:r>
          </w:p>
          <w:p>
            <w:pPr>
              <w:rPr>
                <w:rFonts w:ascii="宋体" w:hAnsi="宋体"/>
                <w:sz w:val="20"/>
              </w:rPr>
            </w:pPr>
            <w:r>
              <w:rPr>
                <w:rFonts w:hint="eastAsia" w:ascii="宋体" w:hAnsi="宋体"/>
                <w:sz w:val="20"/>
              </w:rPr>
              <w:t>最低照度: 彩色：0.002 Lux @（F1.2，AGC ON），0 Lux with 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cs="宋体"/>
                <w:sz w:val="20"/>
              </w:rPr>
            </w:pPr>
            <w:r>
              <w:rPr>
                <w:rFonts w:hint="eastAsia" w:ascii="宋体" w:hAnsi="宋体" w:cs="宋体"/>
                <w:sz w:val="20"/>
              </w:rPr>
              <w:t>2</w:t>
            </w:r>
          </w:p>
        </w:tc>
        <w:tc>
          <w:tcPr>
            <w:tcW w:w="939" w:type="pct"/>
            <w:vAlign w:val="center"/>
          </w:tcPr>
          <w:p>
            <w:pPr>
              <w:jc w:val="center"/>
              <w:rPr>
                <w:rFonts w:ascii="宋体" w:hAnsi="宋体" w:cs="宋体"/>
                <w:sz w:val="20"/>
              </w:rPr>
            </w:pPr>
            <w:r>
              <w:rPr>
                <w:rFonts w:hint="eastAsia" w:ascii="宋体" w:hAnsi="宋体" w:cs="宋体"/>
                <w:sz w:val="20"/>
              </w:rPr>
              <w:t>非实质性</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 xml:space="preserve">镜头可选: </w:t>
            </w:r>
          </w:p>
          <w:p>
            <w:pPr>
              <w:rPr>
                <w:rFonts w:ascii="宋体" w:hAnsi="宋体"/>
                <w:sz w:val="20"/>
              </w:rPr>
            </w:pPr>
            <w:r>
              <w:rPr>
                <w:rFonts w:hint="eastAsia" w:ascii="宋体" w:hAnsi="宋体"/>
                <w:sz w:val="20"/>
              </w:rPr>
              <w:t xml:space="preserve">4 mm@ F1.6，或 6 mm@ F1.6，或8 mm@ F1.6， </w:t>
            </w:r>
          </w:p>
          <w:p>
            <w:pPr>
              <w:rPr>
                <w:rFonts w:ascii="宋体" w:hAnsi="宋体"/>
                <w:sz w:val="20"/>
              </w:rPr>
            </w:pPr>
            <w:r>
              <w:rPr>
                <w:rFonts w:hint="eastAsia" w:ascii="宋体" w:hAnsi="宋体"/>
                <w:sz w:val="20"/>
              </w:rPr>
              <w:t>宽动态范围: 120 dB</w:t>
            </w:r>
          </w:p>
          <w:p>
            <w:pPr>
              <w:rPr>
                <w:rFonts w:ascii="宋体" w:hAnsi="宋体"/>
                <w:sz w:val="20"/>
              </w:rPr>
            </w:pPr>
            <w:r>
              <w:rPr>
                <w:rFonts w:hint="eastAsia" w:ascii="宋体" w:hAnsi="宋体"/>
                <w:sz w:val="20"/>
              </w:rPr>
              <w:t xml:space="preserve">支持POE供电                                                    </w:t>
            </w:r>
          </w:p>
          <w:p>
            <w:pPr>
              <w:rPr>
                <w:rFonts w:ascii="宋体" w:hAnsi="宋体"/>
                <w:sz w:val="20"/>
              </w:rPr>
            </w:pPr>
            <w:r>
              <w:rPr>
                <w:rFonts w:hint="eastAsia" w:ascii="宋体" w:hAnsi="宋体"/>
                <w:sz w:val="20"/>
              </w:rPr>
              <w:t>内置拾音器</w:t>
            </w:r>
          </w:p>
          <w:p>
            <w:pPr>
              <w:rPr>
                <w:rFonts w:ascii="宋体" w:hAnsi="宋体"/>
                <w:sz w:val="20"/>
              </w:rPr>
            </w:pPr>
            <w:r>
              <w:rPr>
                <w:rFonts w:hint="eastAsia" w:ascii="宋体" w:hAnsi="宋体"/>
                <w:sz w:val="20"/>
              </w:rPr>
              <w:t xml:space="preserve">视频压缩标准: </w:t>
            </w:r>
          </w:p>
          <w:p>
            <w:pPr>
              <w:rPr>
                <w:rFonts w:ascii="宋体" w:hAnsi="宋体"/>
                <w:sz w:val="20"/>
              </w:rPr>
            </w:pPr>
            <w:r>
              <w:rPr>
                <w:rFonts w:hint="eastAsia" w:ascii="宋体" w:hAnsi="宋体"/>
                <w:sz w:val="20"/>
              </w:rPr>
              <w:t>主码流：H.265/H.264</w:t>
            </w:r>
          </w:p>
          <w:p>
            <w:pPr>
              <w:rPr>
                <w:rFonts w:ascii="宋体" w:hAnsi="宋体"/>
                <w:sz w:val="20"/>
              </w:rPr>
            </w:pPr>
            <w:r>
              <w:rPr>
                <w:rFonts w:hint="eastAsia" w:ascii="宋体" w:hAnsi="宋体"/>
                <w:sz w:val="20"/>
              </w:rPr>
              <w:t>子码流：H.265/H.264/MJPEG</w:t>
            </w:r>
          </w:p>
          <w:p>
            <w:pPr>
              <w:rPr>
                <w:rFonts w:ascii="宋体" w:hAnsi="宋体"/>
                <w:sz w:val="20"/>
              </w:rPr>
            </w:pPr>
            <w:r>
              <w:rPr>
                <w:rFonts w:hint="eastAsia" w:ascii="宋体" w:hAnsi="宋体"/>
                <w:sz w:val="20"/>
              </w:rPr>
              <w:t>第三码流：H.265/H.264</w:t>
            </w:r>
          </w:p>
          <w:p>
            <w:pPr>
              <w:rPr>
                <w:rFonts w:asciiTheme="minorEastAsia" w:hAnsiTheme="minorEastAsia"/>
                <w:sz w:val="20"/>
                <w:szCs w:val="20"/>
              </w:rPr>
            </w:pPr>
            <w:r>
              <w:rPr>
                <w:rFonts w:hint="eastAsia" w:ascii="宋体" w:hAnsi="宋体"/>
                <w:sz w:val="20"/>
              </w:rPr>
              <w:t>提供所投产品制造商质保函和授权书。</w:t>
            </w:r>
          </w:p>
          <w:p>
            <w:pPr>
              <w:rPr>
                <w:rFonts w:ascii="宋体" w:hAnsi="宋体"/>
                <w:sz w:val="20"/>
              </w:rPr>
            </w:pPr>
            <w:r>
              <w:rPr>
                <w:rFonts w:hint="eastAsia"/>
                <w:sz w:val="20"/>
                <w:szCs w:val="20"/>
              </w:rPr>
              <w:t>为保障监控系统可用性和兼容性，要求前端摄像设备与NVR硬盘录像机相同品牌</w:t>
            </w:r>
          </w:p>
        </w:tc>
      </w:tr>
    </w:tbl>
    <w:p>
      <w:pPr>
        <w:ind w:firstLine="420" w:firstLineChars="200"/>
        <w:jc w:val="left"/>
        <w:rPr>
          <w:rFonts w:ascii="微软雅黑 Light" w:hAnsi="微软雅黑 Light" w:eastAsia="微软雅黑 Light" w:cs="微软雅黑 Light"/>
          <w:b/>
          <w:szCs w:val="21"/>
        </w:rPr>
      </w:pPr>
      <w:r>
        <w:rPr>
          <w:rFonts w:hint="eastAsia" w:ascii="微软雅黑 Light" w:hAnsi="微软雅黑 Light" w:eastAsia="微软雅黑 Light" w:cs="微软雅黑 Light"/>
          <w:b/>
          <w:szCs w:val="21"/>
        </w:rPr>
        <w:t>3、200万星光级半球型摄像机技术要求</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hint="eastAsia" w:ascii="宋体" w:hAnsi="宋体" w:cs="宋体"/>
                <w:sz w:val="20"/>
              </w:rPr>
              <w:t>技术</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200万星光级1/2.7”CMOS ICR日夜型半球型网络摄像机</w:t>
            </w:r>
          </w:p>
          <w:p>
            <w:pPr>
              <w:rPr>
                <w:rFonts w:ascii="宋体" w:hAnsi="宋体"/>
                <w:sz w:val="20"/>
              </w:rPr>
            </w:pPr>
            <w:r>
              <w:rPr>
                <w:rFonts w:hint="eastAsia" w:ascii="宋体" w:hAnsi="宋体"/>
                <w:sz w:val="20"/>
              </w:rPr>
              <w:t>最低照度: 彩色：0.002 Lux @（F1.2，AGC ON），0 Lux with 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cs="宋体"/>
                <w:sz w:val="20"/>
              </w:rPr>
            </w:pPr>
            <w:r>
              <w:rPr>
                <w:rFonts w:hint="eastAsia" w:ascii="宋体" w:hAnsi="宋体" w:cs="宋体"/>
                <w:sz w:val="20"/>
              </w:rPr>
              <w:t>2</w:t>
            </w:r>
          </w:p>
        </w:tc>
        <w:tc>
          <w:tcPr>
            <w:tcW w:w="939" w:type="pct"/>
            <w:vAlign w:val="center"/>
          </w:tcPr>
          <w:p>
            <w:pPr>
              <w:jc w:val="center"/>
              <w:rPr>
                <w:rFonts w:ascii="宋体" w:hAnsi="宋体" w:cs="宋体"/>
                <w:sz w:val="20"/>
              </w:rPr>
            </w:pPr>
            <w:r>
              <w:rPr>
                <w:rFonts w:hint="eastAsia" w:ascii="宋体" w:hAnsi="宋体" w:cs="宋体"/>
                <w:sz w:val="20"/>
              </w:rPr>
              <w:t>非实质性</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 xml:space="preserve">镜头可选: </w:t>
            </w:r>
          </w:p>
          <w:p>
            <w:pPr>
              <w:rPr>
                <w:rFonts w:ascii="宋体" w:hAnsi="宋体"/>
                <w:sz w:val="20"/>
              </w:rPr>
            </w:pPr>
            <w:r>
              <w:rPr>
                <w:rFonts w:hint="eastAsia" w:ascii="宋体" w:hAnsi="宋体"/>
                <w:sz w:val="20"/>
              </w:rPr>
              <w:t xml:space="preserve">4 mm@ F1.6，或 6 mm@ F1.6，或8 mm@ F1.6， </w:t>
            </w:r>
          </w:p>
          <w:p>
            <w:pPr>
              <w:rPr>
                <w:rFonts w:ascii="宋体" w:hAnsi="宋体"/>
                <w:sz w:val="20"/>
              </w:rPr>
            </w:pPr>
            <w:r>
              <w:rPr>
                <w:rFonts w:hint="eastAsia" w:ascii="宋体" w:hAnsi="宋体"/>
                <w:sz w:val="20"/>
              </w:rPr>
              <w:t>宽动态范围: 120 dB</w:t>
            </w:r>
          </w:p>
          <w:p>
            <w:pPr>
              <w:rPr>
                <w:rFonts w:ascii="宋体" w:hAnsi="宋体"/>
                <w:sz w:val="20"/>
              </w:rPr>
            </w:pPr>
            <w:r>
              <w:rPr>
                <w:rFonts w:hint="eastAsia" w:ascii="宋体" w:hAnsi="宋体"/>
                <w:sz w:val="20"/>
              </w:rPr>
              <w:t xml:space="preserve">支持POE供电                                                    </w:t>
            </w:r>
          </w:p>
          <w:p>
            <w:pPr>
              <w:rPr>
                <w:rFonts w:ascii="宋体" w:hAnsi="宋体"/>
                <w:sz w:val="20"/>
              </w:rPr>
            </w:pPr>
            <w:r>
              <w:rPr>
                <w:rFonts w:hint="eastAsia" w:ascii="宋体" w:hAnsi="宋体"/>
                <w:sz w:val="20"/>
              </w:rPr>
              <w:t>内置拾音器</w:t>
            </w:r>
          </w:p>
          <w:p>
            <w:pPr>
              <w:rPr>
                <w:rFonts w:ascii="宋体" w:hAnsi="宋体"/>
                <w:sz w:val="20"/>
              </w:rPr>
            </w:pPr>
            <w:r>
              <w:rPr>
                <w:rFonts w:hint="eastAsia" w:ascii="宋体" w:hAnsi="宋体"/>
                <w:sz w:val="20"/>
              </w:rPr>
              <w:t xml:space="preserve">视频压缩标准: </w:t>
            </w:r>
          </w:p>
          <w:p>
            <w:pPr>
              <w:rPr>
                <w:rFonts w:ascii="宋体" w:hAnsi="宋体"/>
                <w:sz w:val="20"/>
              </w:rPr>
            </w:pPr>
            <w:r>
              <w:rPr>
                <w:rFonts w:hint="eastAsia" w:ascii="宋体" w:hAnsi="宋体"/>
                <w:sz w:val="20"/>
              </w:rPr>
              <w:t>主码流：H.265/H.264</w:t>
            </w:r>
          </w:p>
          <w:p>
            <w:pPr>
              <w:rPr>
                <w:rFonts w:ascii="宋体" w:hAnsi="宋体"/>
                <w:sz w:val="20"/>
              </w:rPr>
            </w:pPr>
            <w:r>
              <w:rPr>
                <w:rFonts w:hint="eastAsia" w:ascii="宋体" w:hAnsi="宋体"/>
                <w:sz w:val="20"/>
              </w:rPr>
              <w:t>子码流：H.265/H.264/MJPEG</w:t>
            </w:r>
          </w:p>
          <w:p>
            <w:pPr>
              <w:rPr>
                <w:rFonts w:ascii="宋体" w:hAnsi="宋体"/>
                <w:sz w:val="20"/>
              </w:rPr>
            </w:pPr>
            <w:r>
              <w:rPr>
                <w:rFonts w:hint="eastAsia" w:ascii="宋体" w:hAnsi="宋体"/>
                <w:sz w:val="20"/>
              </w:rPr>
              <w:t>第三码流：H.265/H.264</w:t>
            </w:r>
          </w:p>
          <w:p>
            <w:pPr>
              <w:rPr>
                <w:rFonts w:asciiTheme="minorEastAsia" w:hAnsiTheme="minorEastAsia"/>
                <w:sz w:val="20"/>
                <w:szCs w:val="20"/>
              </w:rPr>
            </w:pPr>
            <w:r>
              <w:rPr>
                <w:rFonts w:hint="eastAsia" w:ascii="宋体" w:hAnsi="宋体"/>
                <w:sz w:val="20"/>
              </w:rPr>
              <w:t>提供所投产品制造商质保函和授权书。</w:t>
            </w:r>
          </w:p>
          <w:p>
            <w:pPr>
              <w:rPr>
                <w:rFonts w:ascii="宋体" w:hAnsi="宋体"/>
                <w:sz w:val="20"/>
              </w:rPr>
            </w:pPr>
            <w:r>
              <w:rPr>
                <w:rFonts w:hint="eastAsia"/>
                <w:sz w:val="20"/>
                <w:szCs w:val="20"/>
              </w:rPr>
              <w:t>为保障监控系统可用性和兼容性，要求前端摄像设备与NVR硬盘录像机相同品牌</w:t>
            </w:r>
          </w:p>
        </w:tc>
      </w:tr>
    </w:tbl>
    <w:p>
      <w:pPr>
        <w:ind w:firstLine="420" w:firstLineChars="200"/>
        <w:jc w:val="left"/>
        <w:rPr>
          <w:rFonts w:ascii="微软雅黑 Light" w:hAnsi="微软雅黑 Light" w:eastAsia="微软雅黑 Light" w:cs="微软雅黑 Light"/>
          <w:b/>
          <w:szCs w:val="21"/>
        </w:rPr>
      </w:pPr>
      <w:r>
        <w:rPr>
          <w:rFonts w:hint="eastAsia" w:ascii="微软雅黑 Light" w:hAnsi="微软雅黑 Light" w:eastAsia="微软雅黑 Light" w:cs="微软雅黑 Light"/>
          <w:b/>
          <w:szCs w:val="21"/>
        </w:rPr>
        <w:t>4、NVR硬盘录像机技术要求</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hint="eastAsia" w:ascii="宋体" w:hAnsi="宋体" w:cs="宋体"/>
                <w:sz w:val="20"/>
              </w:rPr>
              <w:t>实质性</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64路H.264、H.265混合接入</w:t>
            </w:r>
          </w:p>
          <w:p>
            <w:pPr>
              <w:rPr>
                <w:rFonts w:ascii="宋体" w:hAnsi="宋体"/>
                <w:sz w:val="20"/>
              </w:rPr>
            </w:pPr>
            <w:r>
              <w:rPr>
                <w:rFonts w:hint="eastAsia" w:ascii="宋体" w:hAnsi="宋体"/>
                <w:sz w:val="20"/>
              </w:rPr>
              <w:t xml:space="preserve">8盘位，可满配6TB硬盘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cs="宋体"/>
                <w:sz w:val="20"/>
              </w:rPr>
            </w:pPr>
            <w:r>
              <w:rPr>
                <w:rFonts w:hint="eastAsia" w:ascii="宋体" w:hAnsi="宋体" w:cs="宋体"/>
                <w:sz w:val="20"/>
              </w:rPr>
              <w:t>2</w:t>
            </w:r>
          </w:p>
        </w:tc>
        <w:tc>
          <w:tcPr>
            <w:tcW w:w="939" w:type="pct"/>
            <w:vAlign w:val="center"/>
          </w:tcPr>
          <w:p>
            <w:pPr>
              <w:jc w:val="center"/>
              <w:rPr>
                <w:rFonts w:ascii="宋体" w:hAnsi="宋体" w:cs="宋体"/>
                <w:sz w:val="20"/>
              </w:rPr>
            </w:pPr>
            <w:r>
              <w:rPr>
                <w:rFonts w:hint="eastAsia" w:ascii="宋体" w:hAnsi="宋体" w:cs="宋体"/>
                <w:sz w:val="20"/>
              </w:rPr>
              <w:t>非实质性</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最大支持8×1080P解码</w:t>
            </w:r>
          </w:p>
          <w:p>
            <w:pPr>
              <w:rPr>
                <w:rFonts w:ascii="宋体" w:hAnsi="宋体"/>
                <w:sz w:val="20"/>
              </w:rPr>
            </w:pPr>
            <w:r>
              <w:rPr>
                <w:rFonts w:hint="eastAsia" w:ascii="宋体" w:hAnsi="宋体"/>
                <w:sz w:val="20"/>
              </w:rPr>
              <w:t>支持H.265、H.264解码</w:t>
            </w:r>
          </w:p>
          <w:p>
            <w:pPr>
              <w:rPr>
                <w:rFonts w:ascii="宋体" w:hAnsi="宋体"/>
                <w:sz w:val="20"/>
              </w:rPr>
            </w:pPr>
            <w:r>
              <w:rPr>
                <w:rFonts w:hint="eastAsia" w:ascii="宋体" w:hAnsi="宋体"/>
                <w:sz w:val="20"/>
              </w:rPr>
              <w:t>2个HDMI，2个VGA,HDMI+VGA组内同源</w:t>
            </w:r>
          </w:p>
          <w:p>
            <w:pPr>
              <w:rPr>
                <w:rFonts w:cs="微软雅黑 Light" w:asciiTheme="minorEastAsia" w:hAnsiTheme="minorEastAsia"/>
                <w:sz w:val="20"/>
                <w:szCs w:val="20"/>
              </w:rPr>
            </w:pPr>
            <w:r>
              <w:rPr>
                <w:rFonts w:hint="eastAsia" w:cs="微软雅黑 Light" w:asciiTheme="minorEastAsia" w:hAnsiTheme="minorEastAsia"/>
                <w:sz w:val="20"/>
                <w:szCs w:val="20"/>
              </w:rPr>
              <w:t>实现大屏上墙预览、录像回放、电子地图等功能，满足有权限的用户在线浏览、回放和控制监控录像；接入原有的流媒体转发服务器，便于图像资源共享</w:t>
            </w:r>
          </w:p>
          <w:p>
            <w:pPr>
              <w:rPr>
                <w:rFonts w:ascii="宋体" w:hAnsi="宋体"/>
                <w:sz w:val="20"/>
              </w:rPr>
            </w:pPr>
            <w:r>
              <w:rPr>
                <w:rFonts w:hint="eastAsia" w:ascii="宋体" w:hAnsi="宋体"/>
                <w:sz w:val="20"/>
              </w:rPr>
              <w:t>硬件规格：</w:t>
            </w:r>
          </w:p>
          <w:p>
            <w:pPr>
              <w:rPr>
                <w:rFonts w:ascii="宋体" w:hAnsi="宋体"/>
                <w:sz w:val="20"/>
              </w:rPr>
            </w:pPr>
            <w:r>
              <w:rPr>
                <w:rFonts w:hint="eastAsia" w:ascii="宋体" w:hAnsi="宋体"/>
                <w:sz w:val="20"/>
              </w:rPr>
              <w:t>2个千兆网口</w:t>
            </w:r>
          </w:p>
          <w:p>
            <w:pPr>
              <w:rPr>
                <w:rFonts w:ascii="宋体" w:hAnsi="宋体"/>
                <w:sz w:val="20"/>
              </w:rPr>
            </w:pPr>
            <w:r>
              <w:rPr>
                <w:rFonts w:hint="eastAsia" w:ascii="宋体" w:hAnsi="宋体"/>
                <w:sz w:val="20"/>
              </w:rPr>
              <w:t>2个USB2.0接口、1个USB3.0接口</w:t>
            </w:r>
          </w:p>
          <w:p>
            <w:pPr>
              <w:rPr>
                <w:rFonts w:ascii="宋体" w:hAnsi="宋体"/>
                <w:sz w:val="20"/>
              </w:rPr>
            </w:pPr>
            <w:r>
              <w:rPr>
                <w:rFonts w:hint="eastAsia" w:ascii="宋体" w:hAnsi="宋体"/>
                <w:sz w:val="20"/>
              </w:rPr>
              <w:t>1个eSATA接口</w:t>
            </w:r>
          </w:p>
          <w:p>
            <w:pPr>
              <w:rPr>
                <w:rFonts w:ascii="宋体" w:hAnsi="宋体"/>
                <w:sz w:val="20"/>
              </w:rPr>
            </w:pPr>
            <w:r>
              <w:rPr>
                <w:rFonts w:hint="eastAsia" w:ascii="宋体" w:hAnsi="宋体"/>
                <w:sz w:val="20"/>
              </w:rPr>
              <w:t>报警IO：16进4路（可选配8出）</w:t>
            </w:r>
          </w:p>
          <w:p>
            <w:pPr>
              <w:rPr>
                <w:rFonts w:ascii="宋体" w:hAnsi="宋体"/>
                <w:sz w:val="20"/>
              </w:rPr>
            </w:pPr>
            <w:r>
              <w:rPr>
                <w:rFonts w:hint="eastAsia" w:ascii="宋体" w:hAnsi="宋体"/>
                <w:sz w:val="20"/>
              </w:rPr>
              <w:t>软件性能：</w:t>
            </w:r>
          </w:p>
          <w:p>
            <w:pPr>
              <w:rPr>
                <w:rFonts w:ascii="宋体" w:hAnsi="宋体"/>
                <w:sz w:val="20"/>
              </w:rPr>
            </w:pPr>
            <w:r>
              <w:rPr>
                <w:rFonts w:hint="eastAsia" w:ascii="宋体" w:hAnsi="宋体"/>
                <w:sz w:val="20"/>
              </w:rPr>
              <w:t>输入带宽：256M</w:t>
            </w:r>
          </w:p>
          <w:p>
            <w:pPr>
              <w:rPr>
                <w:rFonts w:ascii="宋体" w:hAnsi="宋体"/>
                <w:sz w:val="20"/>
              </w:rPr>
            </w:pPr>
            <w:r>
              <w:rPr>
                <w:rFonts w:hint="eastAsia" w:ascii="宋体" w:hAnsi="宋体"/>
                <w:sz w:val="20"/>
              </w:rPr>
              <w:t>Smart 2.0/整机热备/ANR/智能检索/智能回放/车牌检索/人脸检索/热度图/客流量统计/分时段回放/超高倍速回放/双系统备份</w:t>
            </w:r>
          </w:p>
          <w:p>
            <w:pPr>
              <w:rPr>
                <w:rFonts w:asciiTheme="minorEastAsia" w:hAnsiTheme="minorEastAsia"/>
                <w:sz w:val="20"/>
                <w:szCs w:val="20"/>
              </w:rPr>
            </w:pPr>
            <w:r>
              <w:rPr>
                <w:rFonts w:hint="eastAsia" w:ascii="宋体" w:hAnsi="宋体"/>
                <w:sz w:val="20"/>
              </w:rPr>
              <w:t>提供所投产品制造商质保函和授权书。</w:t>
            </w:r>
          </w:p>
          <w:p>
            <w:pPr>
              <w:rPr>
                <w:rFonts w:ascii="宋体" w:hAnsi="宋体"/>
                <w:sz w:val="20"/>
              </w:rPr>
            </w:pPr>
            <w:r>
              <w:rPr>
                <w:rFonts w:hint="eastAsia"/>
                <w:sz w:val="20"/>
                <w:szCs w:val="20"/>
              </w:rPr>
              <w:t>为保障监控系统可用性和兼容性，要求前端摄像设备与NVR硬盘录像机相同品牌</w:t>
            </w:r>
          </w:p>
        </w:tc>
      </w:tr>
    </w:tbl>
    <w:p>
      <w:pPr>
        <w:pStyle w:val="3"/>
      </w:pPr>
      <w:bookmarkStart w:id="9" w:name="_Toc45607930"/>
      <w:r>
        <w:rPr>
          <w:rFonts w:hint="eastAsia"/>
        </w:rPr>
        <w:t>2.2综合布线技术要求</w:t>
      </w:r>
      <w:bookmarkEnd w:id="9"/>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2.2.1建设目标</w:t>
      </w:r>
    </w:p>
    <w:p>
      <w:pPr>
        <w:spacing w:line="360" w:lineRule="auto"/>
        <w:ind w:firstLine="480" w:firstLineChars="200"/>
        <w:jc w:val="left"/>
        <w:rPr>
          <w:rFonts w:cs="微软雅黑 Light" w:asciiTheme="minorEastAsia" w:hAnsiTheme="minorEastAsia"/>
          <w:b/>
          <w:bCs/>
          <w:sz w:val="24"/>
          <w:szCs w:val="24"/>
        </w:rPr>
      </w:pPr>
      <w:r>
        <w:rPr>
          <w:rFonts w:hint="eastAsia" w:cs="微软雅黑 Light" w:asciiTheme="minorEastAsia" w:hAnsiTheme="minorEastAsia"/>
          <w:sz w:val="24"/>
          <w:szCs w:val="24"/>
        </w:rPr>
        <w:t>根据南京信息工程大学文园23幢新建学生公寓智能化建设工程项目建设需要，对楼内各智能化子系统建设需采用六类布线产品作为信号、数据、音视频传输媒介，以此满足高标准的信息化建设，同时为学校5-10年信息化发展做基础铺设，所有布线产品和材料配件均采用国内主流和国标产品。</w:t>
      </w:r>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2.2.2主要材料功能、性能、配置要求</w:t>
      </w:r>
    </w:p>
    <w:p>
      <w:pPr>
        <w:ind w:firstLine="420" w:firstLineChars="200"/>
        <w:jc w:val="left"/>
        <w:rPr>
          <w:rFonts w:ascii="微软雅黑 Light" w:hAnsi="微软雅黑 Light" w:eastAsia="微软雅黑 Light" w:cs="微软雅黑 Light"/>
          <w:szCs w:val="21"/>
        </w:rPr>
      </w:pPr>
      <w:r>
        <w:rPr>
          <w:rFonts w:hint="eastAsia" w:ascii="微软雅黑 Light" w:hAnsi="微软雅黑 Light" w:eastAsia="微软雅黑 Light" w:cs="微软雅黑 Light"/>
          <w:szCs w:val="21"/>
        </w:rPr>
        <w:t>1、网线、模块、水晶头、配线架、跳线等布线技术要求</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hint="eastAsia" w:ascii="宋体" w:hAnsi="宋体" w:cs="宋体"/>
                <w:sz w:val="20"/>
              </w:rPr>
              <w:t>实质性</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六类布线产品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cs="宋体"/>
                <w:sz w:val="20"/>
              </w:rPr>
            </w:pPr>
            <w:r>
              <w:rPr>
                <w:rFonts w:hint="eastAsia" w:ascii="宋体" w:hAnsi="宋体" w:cs="宋体"/>
                <w:sz w:val="20"/>
              </w:rPr>
              <w:t>2</w:t>
            </w:r>
          </w:p>
        </w:tc>
        <w:tc>
          <w:tcPr>
            <w:tcW w:w="939" w:type="pct"/>
            <w:vAlign w:val="center"/>
          </w:tcPr>
          <w:p>
            <w:pPr>
              <w:jc w:val="center"/>
              <w:rPr>
                <w:rFonts w:ascii="宋体" w:hAnsi="宋体" w:cs="宋体"/>
                <w:sz w:val="20"/>
              </w:rPr>
            </w:pPr>
            <w:r>
              <w:rPr>
                <w:rFonts w:hint="eastAsia" w:ascii="宋体" w:hAnsi="宋体" w:cs="宋体"/>
                <w:sz w:val="20"/>
              </w:rPr>
              <w:t>非实质性</w:t>
            </w:r>
            <w:r>
              <w:rPr>
                <w:rFonts w:ascii="宋体" w:hAnsi="宋体" w:cs="宋体"/>
                <w:sz w:val="20"/>
              </w:rPr>
              <w:t>要求</w:t>
            </w:r>
          </w:p>
        </w:tc>
        <w:tc>
          <w:tcPr>
            <w:tcW w:w="3650" w:type="pct"/>
            <w:vAlign w:val="center"/>
          </w:tcPr>
          <w:p>
            <w:pPr>
              <w:rPr>
                <w:rFonts w:ascii="宋体" w:hAnsi="宋体"/>
                <w:sz w:val="20"/>
              </w:rPr>
            </w:pPr>
            <w:r>
              <w:rPr>
                <w:rFonts w:hint="eastAsia"/>
                <w:sz w:val="20"/>
                <w:szCs w:val="20"/>
              </w:rPr>
              <w:t>为保障综合布线稳定性性</w:t>
            </w:r>
            <w:r>
              <w:rPr>
                <w:rFonts w:hint="eastAsia" w:asciiTheme="minorEastAsia" w:hAnsiTheme="minorEastAsia"/>
                <w:sz w:val="20"/>
                <w:szCs w:val="20"/>
              </w:rPr>
              <w:t>和兼容性，要求</w:t>
            </w:r>
            <w:r>
              <w:rPr>
                <w:rFonts w:hint="eastAsia" w:cs="微软雅黑 Light" w:asciiTheme="minorEastAsia" w:hAnsiTheme="minorEastAsia"/>
                <w:sz w:val="20"/>
                <w:szCs w:val="20"/>
              </w:rPr>
              <w:t>网线、模块、水晶头、配线架、跳线等布线产品为</w:t>
            </w:r>
            <w:r>
              <w:rPr>
                <w:rFonts w:hint="eastAsia" w:asciiTheme="minorEastAsia" w:hAnsiTheme="minorEastAsia"/>
                <w:sz w:val="20"/>
                <w:szCs w:val="20"/>
              </w:rPr>
              <w:t>相同品牌</w:t>
            </w:r>
          </w:p>
        </w:tc>
      </w:tr>
    </w:tbl>
    <w:p>
      <w:pPr>
        <w:pStyle w:val="3"/>
      </w:pPr>
      <w:bookmarkStart w:id="10" w:name="_Toc45607931"/>
      <w:r>
        <w:rPr>
          <w:rFonts w:hint="eastAsia"/>
        </w:rPr>
        <w:t>2.3 UPS电源管理系统技术要求</w:t>
      </w:r>
      <w:bookmarkEnd w:id="10"/>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2.3.1建设目标</w:t>
      </w:r>
    </w:p>
    <w:p>
      <w:pPr>
        <w:spacing w:line="360" w:lineRule="auto"/>
        <w:ind w:firstLine="480" w:firstLineChars="200"/>
        <w:jc w:val="left"/>
        <w:rPr>
          <w:rFonts w:cs="微软雅黑 Light" w:asciiTheme="minorEastAsia" w:hAnsiTheme="minorEastAsia"/>
          <w:b/>
          <w:bCs/>
          <w:sz w:val="24"/>
          <w:szCs w:val="24"/>
        </w:rPr>
      </w:pPr>
      <w:r>
        <w:rPr>
          <w:rFonts w:hint="eastAsia" w:cs="微软雅黑 Light" w:asciiTheme="minorEastAsia" w:hAnsiTheme="minorEastAsia"/>
          <w:sz w:val="24"/>
          <w:szCs w:val="24"/>
        </w:rPr>
        <w:t>南京信息工程大学文园学生公寓23幢一楼弱电间内存放着该大楼各智能化子系统的核心管理设备，对系统的运行、数据的保存和应急事件的响应相当重要，所以配备UPS电源管理系统实现电路突发中断或其他原因停止供电后对楼内各智能化子系统还能正常管控和运行，给出校方充足的时间处理突发事而不影响设备运行；为UPS电源管理系统配备报警模块，可以让校方第一时间知道宿舍楼电源中断情况，并能快速反应处理故障。</w:t>
      </w:r>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2.3.2主要设备功能、性能、配置要求</w:t>
      </w:r>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1、UPS主机技术要求</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hint="eastAsia" w:ascii="宋体" w:hAnsi="宋体" w:cs="宋体"/>
                <w:sz w:val="20"/>
              </w:rPr>
              <w:t>实质性</w:t>
            </w:r>
            <w:r>
              <w:rPr>
                <w:rFonts w:ascii="宋体" w:hAnsi="宋体" w:cs="宋体"/>
                <w:sz w:val="20"/>
              </w:rPr>
              <w:t>要求</w:t>
            </w:r>
          </w:p>
        </w:tc>
        <w:tc>
          <w:tcPr>
            <w:tcW w:w="3650" w:type="pct"/>
            <w:vAlign w:val="center"/>
          </w:tcPr>
          <w:p>
            <w:pPr>
              <w:rPr>
                <w:rFonts w:asciiTheme="minorEastAsia" w:hAnsiTheme="minorEastAsia"/>
                <w:sz w:val="20"/>
                <w:szCs w:val="20"/>
              </w:rPr>
            </w:pPr>
            <w:r>
              <w:rPr>
                <w:rFonts w:hint="eastAsia" w:ascii="宋体" w:hAnsi="宋体"/>
                <w:sz w:val="20"/>
              </w:rPr>
              <w:t>主机功率≥10</w:t>
            </w:r>
            <w:r>
              <w:rPr>
                <w:rFonts w:ascii="宋体" w:hAnsi="宋体"/>
                <w:sz w:val="20"/>
              </w:rPr>
              <w:t>KVA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cs="宋体"/>
                <w:sz w:val="20"/>
              </w:rPr>
            </w:pPr>
            <w:r>
              <w:rPr>
                <w:rFonts w:hint="eastAsia" w:ascii="宋体" w:hAnsi="宋体" w:cs="宋体"/>
                <w:sz w:val="20"/>
              </w:rPr>
              <w:t>2</w:t>
            </w:r>
          </w:p>
        </w:tc>
        <w:tc>
          <w:tcPr>
            <w:tcW w:w="939" w:type="pct"/>
            <w:vAlign w:val="center"/>
          </w:tcPr>
          <w:p>
            <w:pPr>
              <w:jc w:val="center"/>
              <w:rPr>
                <w:rFonts w:ascii="宋体" w:hAnsi="宋体" w:cs="宋体"/>
                <w:sz w:val="20"/>
              </w:rPr>
            </w:pPr>
            <w:r>
              <w:rPr>
                <w:rFonts w:hint="eastAsia" w:ascii="宋体" w:hAnsi="宋体" w:cs="宋体"/>
                <w:sz w:val="20"/>
              </w:rPr>
              <w:t>非实质性</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满足清单技术要求</w:t>
            </w:r>
          </w:p>
        </w:tc>
      </w:tr>
    </w:tbl>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2、报警模块机技术要求</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hint="eastAsia" w:ascii="宋体" w:hAnsi="宋体" w:cs="宋体"/>
                <w:sz w:val="20"/>
              </w:rPr>
              <w:t>实质性</w:t>
            </w:r>
            <w:r>
              <w:rPr>
                <w:rFonts w:ascii="宋体" w:hAnsi="宋体" w:cs="宋体"/>
                <w:sz w:val="20"/>
              </w:rPr>
              <w:t>要求</w:t>
            </w:r>
          </w:p>
        </w:tc>
        <w:tc>
          <w:tcPr>
            <w:tcW w:w="3650" w:type="pct"/>
            <w:vAlign w:val="center"/>
          </w:tcPr>
          <w:p>
            <w:pPr>
              <w:rPr>
                <w:rFonts w:asciiTheme="minorEastAsia" w:hAnsiTheme="minorEastAsia"/>
                <w:sz w:val="20"/>
                <w:szCs w:val="20"/>
              </w:rPr>
            </w:pPr>
            <w:r>
              <w:rPr>
                <w:rFonts w:hint="eastAsia" w:ascii="宋体" w:hAnsi="宋体"/>
                <w:sz w:val="20"/>
              </w:rPr>
              <w:t>断电短信、邮件报警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cs="宋体"/>
                <w:sz w:val="20"/>
              </w:rPr>
            </w:pPr>
            <w:r>
              <w:rPr>
                <w:rFonts w:hint="eastAsia" w:ascii="宋体" w:hAnsi="宋体" w:cs="宋体"/>
                <w:sz w:val="20"/>
              </w:rPr>
              <w:t>2</w:t>
            </w:r>
          </w:p>
        </w:tc>
        <w:tc>
          <w:tcPr>
            <w:tcW w:w="939" w:type="pct"/>
            <w:vAlign w:val="center"/>
          </w:tcPr>
          <w:p>
            <w:pPr>
              <w:jc w:val="center"/>
              <w:rPr>
                <w:rFonts w:ascii="宋体" w:hAnsi="宋体" w:cs="宋体"/>
                <w:sz w:val="20"/>
              </w:rPr>
            </w:pPr>
            <w:r>
              <w:rPr>
                <w:rFonts w:hint="eastAsia" w:ascii="宋体" w:hAnsi="宋体" w:cs="宋体"/>
                <w:sz w:val="20"/>
              </w:rPr>
              <w:t>非实质性</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无</w:t>
            </w:r>
          </w:p>
        </w:tc>
      </w:tr>
    </w:tbl>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3、电池模块技术要求</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hint="eastAsia" w:ascii="宋体" w:hAnsi="宋体" w:cs="宋体"/>
                <w:sz w:val="20"/>
              </w:rPr>
              <w:t>实质性</w:t>
            </w:r>
            <w:r>
              <w:rPr>
                <w:rFonts w:ascii="宋体" w:hAnsi="宋体" w:cs="宋体"/>
                <w:sz w:val="20"/>
              </w:rPr>
              <w:t>要求</w:t>
            </w:r>
          </w:p>
        </w:tc>
        <w:tc>
          <w:tcPr>
            <w:tcW w:w="3650" w:type="pct"/>
            <w:vAlign w:val="center"/>
          </w:tcPr>
          <w:p>
            <w:pPr>
              <w:rPr>
                <w:rFonts w:asciiTheme="minorEastAsia" w:hAnsiTheme="minorEastAsia"/>
                <w:sz w:val="20"/>
                <w:szCs w:val="20"/>
              </w:rPr>
            </w:pPr>
            <w:r>
              <w:rPr>
                <w:rFonts w:hint="eastAsia" w:ascii="宋体" w:hAnsi="宋体"/>
                <w:sz w:val="20"/>
              </w:rPr>
              <w:t>12V100AH，后备2小时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cs="宋体"/>
                <w:sz w:val="20"/>
              </w:rPr>
            </w:pPr>
            <w:r>
              <w:rPr>
                <w:rFonts w:hint="eastAsia" w:ascii="宋体" w:hAnsi="宋体" w:cs="宋体"/>
                <w:sz w:val="20"/>
              </w:rPr>
              <w:t>2</w:t>
            </w:r>
          </w:p>
        </w:tc>
        <w:tc>
          <w:tcPr>
            <w:tcW w:w="939" w:type="pct"/>
            <w:vAlign w:val="center"/>
          </w:tcPr>
          <w:p>
            <w:pPr>
              <w:jc w:val="center"/>
              <w:rPr>
                <w:rFonts w:ascii="宋体" w:hAnsi="宋体" w:cs="宋体"/>
                <w:sz w:val="20"/>
              </w:rPr>
            </w:pPr>
            <w:r>
              <w:rPr>
                <w:rFonts w:hint="eastAsia" w:ascii="宋体" w:hAnsi="宋体" w:cs="宋体"/>
                <w:sz w:val="20"/>
              </w:rPr>
              <w:t>非实质性</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无</w:t>
            </w:r>
          </w:p>
        </w:tc>
      </w:tr>
    </w:tbl>
    <w:p>
      <w:pPr>
        <w:pStyle w:val="3"/>
      </w:pPr>
      <w:bookmarkStart w:id="11" w:name="_Toc45607932"/>
      <w:r>
        <w:rPr>
          <w:rFonts w:hint="eastAsia"/>
        </w:rPr>
        <w:t>2.4 智能门禁管理系统技术要求</w:t>
      </w:r>
      <w:bookmarkEnd w:id="11"/>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2.4.1建设目标</w:t>
      </w:r>
    </w:p>
    <w:p>
      <w:pPr>
        <w:spacing w:line="360" w:lineRule="auto"/>
        <w:ind w:firstLine="480" w:firstLineChars="200"/>
        <w:jc w:val="left"/>
        <w:rPr>
          <w:rFonts w:cs="微软雅黑 Light" w:asciiTheme="minorEastAsia" w:hAnsiTheme="minorEastAsia"/>
          <w:b/>
          <w:bCs/>
          <w:sz w:val="24"/>
          <w:szCs w:val="24"/>
        </w:rPr>
      </w:pPr>
      <w:r>
        <w:rPr>
          <w:rFonts w:hint="eastAsia" w:cs="微软雅黑 Light" w:asciiTheme="minorEastAsia" w:hAnsiTheme="minorEastAsia"/>
          <w:sz w:val="24"/>
          <w:szCs w:val="24"/>
        </w:rPr>
        <w:t>南京信息工程大学为提高效率和智能化管理学生宿舍，已对20、21、22幢宿舍楼学生公寓安装了智能门锁，并对学生公寓23幢也做了智能门锁安装计划，为更好、高效、统一的管理各宿舍智能门禁系统，并为学校以后宿舍智能管理作准备，现需要建设一套完善、本地化管理的智能门禁管理系统，实现对现有智能门锁的管理，提高管理员的工作效率和宿舍安全，同时方便学生舒适的进出。</w:t>
      </w:r>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2.4.2主要设备功能、性能、配置要求</w:t>
      </w:r>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1、宿舍智能门禁综合管理系统软件技术要求</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hint="eastAsia" w:ascii="宋体" w:hAnsi="宋体" w:cs="宋体"/>
                <w:sz w:val="20"/>
              </w:rPr>
              <w:t>实质性</w:t>
            </w:r>
            <w:r>
              <w:rPr>
                <w:rFonts w:ascii="宋体" w:hAnsi="宋体" w:cs="宋体"/>
                <w:sz w:val="20"/>
              </w:rPr>
              <w:t>要求</w:t>
            </w:r>
          </w:p>
        </w:tc>
        <w:tc>
          <w:tcPr>
            <w:tcW w:w="3650" w:type="pct"/>
            <w:vAlign w:val="center"/>
          </w:tcPr>
          <w:p>
            <w:pPr>
              <w:rPr>
                <w:rFonts w:ascii="宋体" w:hAnsi="宋体" w:cs="宋体"/>
                <w:color w:val="auto"/>
                <w:kern w:val="0"/>
                <w:sz w:val="18"/>
                <w:szCs w:val="18"/>
              </w:rPr>
            </w:pPr>
            <w:r>
              <w:rPr>
                <w:rFonts w:hint="eastAsia" w:ascii="宋体" w:hAnsi="宋体" w:cs="宋体"/>
                <w:color w:val="auto"/>
                <w:kern w:val="0"/>
                <w:sz w:val="18"/>
                <w:szCs w:val="18"/>
              </w:rPr>
              <w:t xml:space="preserve">实现功能要求：                                                                                         </w:t>
            </w:r>
            <w:r>
              <w:rPr>
                <w:rFonts w:hint="eastAsia" w:ascii="宋体" w:hAnsi="宋体" w:cs="宋体"/>
                <w:color w:val="auto"/>
                <w:kern w:val="0"/>
                <w:sz w:val="18"/>
                <w:szCs w:val="18"/>
              </w:rPr>
              <w:br w:type="textWrapping"/>
            </w:r>
            <w:r>
              <w:rPr>
                <w:rFonts w:hint="eastAsia" w:ascii="宋体" w:hAnsi="宋体" w:cs="宋体"/>
                <w:color w:val="auto"/>
                <w:kern w:val="0"/>
                <w:sz w:val="18"/>
                <w:szCs w:val="18"/>
              </w:rPr>
              <w:t>1、实现20栋、21栋、22栋、23栋学生公寓共约830套赛客智能门锁无缝对接和本地化系统部署，并接入统一管理平台。</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2、与校中心库对接、获取人员基本信息，实现校园卡信息、人员住宿信息实时同步、系统按照学生住宿信息实时自动校园</w:t>
            </w:r>
            <w:bookmarkStart w:id="14" w:name="_GoBack"/>
            <w:bookmarkEnd w:id="14"/>
            <w:r>
              <w:rPr>
                <w:rFonts w:hint="eastAsia" w:ascii="宋体" w:hAnsi="宋体" w:cs="宋体"/>
                <w:color w:val="auto"/>
                <w:kern w:val="0"/>
                <w:sz w:val="18"/>
                <w:szCs w:val="18"/>
              </w:rPr>
              <w:t xml:space="preserve">卡门禁授权。                         </w:t>
            </w:r>
          </w:p>
          <w:p>
            <w:pPr>
              <w:rPr>
                <w:rFonts w:ascii="宋体" w:hAnsi="宋体" w:cs="宋体"/>
                <w:color w:val="auto"/>
                <w:kern w:val="0"/>
                <w:sz w:val="18"/>
                <w:szCs w:val="18"/>
              </w:rPr>
            </w:pPr>
            <w:r>
              <w:rPr>
                <w:rFonts w:hint="eastAsia" w:ascii="宋体" w:hAnsi="宋体" w:cs="宋体"/>
                <w:color w:val="auto"/>
                <w:kern w:val="0"/>
                <w:sz w:val="18"/>
                <w:szCs w:val="18"/>
              </w:rPr>
              <w:t>安全功能要求：</w:t>
            </w:r>
          </w:p>
          <w:p>
            <w:pPr>
              <w:rPr>
                <w:rFonts w:ascii="宋体" w:hAnsi="宋体" w:cs="宋体"/>
                <w:color w:val="auto"/>
                <w:kern w:val="0"/>
                <w:sz w:val="18"/>
                <w:szCs w:val="18"/>
              </w:rPr>
            </w:pPr>
            <w:r>
              <w:rPr>
                <w:rFonts w:hint="eastAsia" w:ascii="宋体" w:hAnsi="宋体" w:cs="宋体"/>
                <w:color w:val="auto"/>
                <w:kern w:val="0"/>
                <w:sz w:val="18"/>
                <w:szCs w:val="18"/>
              </w:rPr>
              <w:t xml:space="preserve">1、 智能门禁（门锁）是通过对学生校园卡进行宿舍门禁授权，必须杜绝复制卡刷门锁的功能，智能门锁软硬件支持刷卡时验证校园卡ID号和SCHOOLDF文件等。                                     </w:t>
            </w:r>
          </w:p>
          <w:p>
            <w:pPr>
              <w:rPr>
                <w:rFonts w:ascii="宋体" w:hAnsi="宋体" w:cs="宋体"/>
                <w:kern w:val="0"/>
                <w:sz w:val="18"/>
                <w:szCs w:val="18"/>
              </w:rPr>
            </w:pPr>
            <w:r>
              <w:rPr>
                <w:rFonts w:hint="eastAsia" w:ascii="宋体" w:hAnsi="宋体" w:cs="宋体"/>
                <w:color w:val="auto"/>
                <w:kern w:val="0"/>
                <w:sz w:val="18"/>
                <w:szCs w:val="18"/>
              </w:rPr>
              <w:t>2、校内使用管理部门</w:t>
            </w:r>
            <w:r>
              <w:rPr>
                <w:rFonts w:hint="eastAsia" w:ascii="宋体" w:hAnsi="宋体" w:cs="宋体"/>
                <w:kern w:val="0"/>
                <w:sz w:val="18"/>
                <w:szCs w:val="18"/>
              </w:rPr>
              <w:t xml:space="preserve">和系统提供商需对一卡通对接数据保密，不得泄露和使用到其它项目。                                              </w:t>
            </w:r>
          </w:p>
          <w:p>
            <w:pPr>
              <w:rPr>
                <w:rFonts w:ascii="宋体" w:hAnsi="宋体" w:cs="宋体"/>
                <w:kern w:val="0"/>
                <w:sz w:val="18"/>
                <w:szCs w:val="18"/>
              </w:rPr>
            </w:pPr>
            <w:r>
              <w:rPr>
                <w:rFonts w:hint="eastAsia" w:ascii="宋体" w:hAnsi="宋体" w:cs="宋体"/>
                <w:kern w:val="0"/>
                <w:sz w:val="18"/>
                <w:szCs w:val="18"/>
              </w:rPr>
              <w:t>3、系统提供商需提供安全承诺函以及软件制造商针对本项目授权书及质保函。</w:t>
            </w:r>
          </w:p>
          <w:p>
            <w:pPr>
              <w:rPr>
                <w:rFonts w:ascii="宋体" w:hAnsi="宋体"/>
                <w:sz w:val="20"/>
              </w:rPr>
            </w:pPr>
            <w:r>
              <w:rPr>
                <w:rFonts w:hint="eastAsia" w:ascii="宋体" w:hAnsi="宋体"/>
                <w:sz w:val="20"/>
              </w:rPr>
              <w:t>软件功能要求：</w:t>
            </w:r>
          </w:p>
          <w:p>
            <w:pPr>
              <w:rPr>
                <w:rFonts w:ascii="宋体" w:hAnsi="宋体"/>
                <w:sz w:val="20"/>
              </w:rPr>
            </w:pPr>
            <w:r>
              <w:rPr>
                <w:rFonts w:hint="eastAsia" w:ascii="宋体" w:hAnsi="宋体"/>
                <w:sz w:val="20"/>
              </w:rPr>
              <w:t>1、架构系统采用B/S架构，保证普适性。系统管理方式支持网络式、多用户、多角色管理，服务器平台的系统软件符合开放系统互连标准和协议，支持主流网络协议TCP/IP。</w:t>
            </w:r>
          </w:p>
          <w:p>
            <w:pPr>
              <w:rPr>
                <w:rFonts w:ascii="宋体" w:hAnsi="宋体"/>
                <w:sz w:val="20"/>
              </w:rPr>
            </w:pPr>
            <w:r>
              <w:rPr>
                <w:rFonts w:hint="eastAsia" w:ascii="宋体" w:hAnsi="宋体"/>
                <w:sz w:val="20"/>
              </w:rPr>
              <w:t>2、分权管理：可以根据用户所属部门分部门、院系管理，也可按照楼栋、楼层分区域管理。</w:t>
            </w:r>
          </w:p>
          <w:p>
            <w:pPr>
              <w:rPr>
                <w:rFonts w:ascii="宋体" w:hAnsi="宋体"/>
                <w:sz w:val="20"/>
              </w:rPr>
            </w:pPr>
            <w:r>
              <w:rPr>
                <w:rFonts w:hint="eastAsia" w:ascii="宋体" w:hAnsi="宋体"/>
                <w:sz w:val="20"/>
              </w:rPr>
              <w:t>3、兼容性：提供开放的API框架，客户可自定义详细接口，完成智能设备的安全接入、远程控制、状态查询、OTA版本升级等功能以及第三方APP的安全接入。</w:t>
            </w:r>
          </w:p>
          <w:p>
            <w:pPr>
              <w:rPr>
                <w:rFonts w:ascii="宋体" w:hAnsi="宋体"/>
                <w:sz w:val="20"/>
              </w:rPr>
            </w:pPr>
            <w:r>
              <w:rPr>
                <w:rFonts w:hint="eastAsia" w:ascii="宋体" w:hAnsi="宋体"/>
                <w:sz w:val="20"/>
              </w:rPr>
              <w:t>4、各种记录数据查询：可以查询开锁记录数据。包括时间，开锁方式（刷卡、临时授权、手机开门、钥匙开门等），可查询学生换寝记录，记录永不丢失；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7953" w:hRule="atLeast"/>
        </w:trPr>
        <w:tc>
          <w:tcPr>
            <w:tcW w:w="411" w:type="pct"/>
            <w:vAlign w:val="center"/>
          </w:tcPr>
          <w:p>
            <w:pPr>
              <w:ind w:left="37"/>
              <w:jc w:val="center"/>
              <w:rPr>
                <w:rFonts w:ascii="宋体" w:hAnsi="宋体" w:cs="宋体"/>
                <w:sz w:val="20"/>
              </w:rPr>
            </w:pPr>
            <w:r>
              <w:rPr>
                <w:rFonts w:hint="eastAsia" w:ascii="宋体" w:hAnsi="宋体" w:cs="宋体"/>
                <w:sz w:val="20"/>
              </w:rPr>
              <w:t>2</w:t>
            </w:r>
          </w:p>
        </w:tc>
        <w:tc>
          <w:tcPr>
            <w:tcW w:w="939" w:type="pct"/>
            <w:vAlign w:val="center"/>
          </w:tcPr>
          <w:p>
            <w:pPr>
              <w:jc w:val="center"/>
              <w:rPr>
                <w:rFonts w:ascii="宋体" w:hAnsi="宋体" w:cs="宋体"/>
                <w:sz w:val="20"/>
              </w:rPr>
            </w:pPr>
            <w:r>
              <w:rPr>
                <w:rFonts w:hint="eastAsia" w:ascii="宋体" w:hAnsi="宋体" w:cs="宋体"/>
                <w:sz w:val="20"/>
              </w:rPr>
              <w:t>非实质性</w:t>
            </w:r>
            <w:r>
              <w:rPr>
                <w:rFonts w:ascii="宋体" w:hAnsi="宋体" w:cs="宋体"/>
                <w:sz w:val="20"/>
              </w:rPr>
              <w:t>要求</w:t>
            </w:r>
          </w:p>
        </w:tc>
        <w:tc>
          <w:tcPr>
            <w:tcW w:w="3650" w:type="pct"/>
            <w:vAlign w:val="center"/>
          </w:tcPr>
          <w:p>
            <w:pPr>
              <w:rPr>
                <w:rFonts w:ascii="宋体" w:hAnsi="宋体"/>
                <w:sz w:val="20"/>
              </w:rPr>
            </w:pPr>
            <w:r>
              <w:rPr>
                <w:rFonts w:hint="eastAsia" w:ascii="宋体" w:hAnsi="宋体"/>
                <w:sz w:val="20"/>
              </w:rPr>
              <w:t>1、知识产权：管理软件需完全兼容本项目所涉及到的所有智能门锁，管理软件厂家与现有门锁厂家同一品牌优先选择，软件管理平台具备自主知识产权。（提供软件著作权证书复印件加盖原厂公章，原件核查）</w:t>
            </w:r>
          </w:p>
          <w:p>
            <w:pPr>
              <w:rPr>
                <w:rFonts w:ascii="宋体" w:hAnsi="宋体"/>
                <w:sz w:val="20"/>
              </w:rPr>
            </w:pPr>
            <w:r>
              <w:rPr>
                <w:rFonts w:hint="eastAsia" w:ascii="宋体" w:hAnsi="宋体"/>
                <w:sz w:val="20"/>
              </w:rPr>
              <w:t>2、移动端软件：门锁支持手机管理软件，APP必须同时支持Android 与 IOS系统，提供软件管理平台软件著作权（提供软件证书加盖原厂公章）</w:t>
            </w:r>
          </w:p>
          <w:p>
            <w:pPr>
              <w:rPr>
                <w:rFonts w:ascii="宋体" w:hAnsi="宋体"/>
                <w:sz w:val="20"/>
              </w:rPr>
            </w:pPr>
            <w:r>
              <w:rPr>
                <w:rFonts w:hint="eastAsia" w:ascii="宋体" w:hAnsi="宋体"/>
                <w:sz w:val="20"/>
              </w:rPr>
              <w:t xml:space="preserve">3、学生信息绑定：支持以离线方式发放指定时间的临时卡开门，并可通过管理终端完成学生信息与房间信息绑定，支持手工绑定或批量导入。 </w:t>
            </w:r>
          </w:p>
          <w:p>
            <w:pPr>
              <w:rPr>
                <w:rFonts w:ascii="宋体" w:hAnsi="宋体"/>
                <w:sz w:val="20"/>
              </w:rPr>
            </w:pPr>
            <w:r>
              <w:rPr>
                <w:rFonts w:hint="eastAsia" w:ascii="宋体" w:hAnsi="宋体"/>
                <w:sz w:val="20"/>
              </w:rPr>
              <w:t>4、分域管理：平台支持多校区设备接入，最大接入数量大于10万台。并可根据各校区管理员不同，查看权限内房间。</w:t>
            </w:r>
          </w:p>
          <w:p>
            <w:pPr>
              <w:rPr>
                <w:rFonts w:ascii="宋体" w:hAnsi="宋体" w:cs="宋体"/>
                <w:kern w:val="0"/>
                <w:sz w:val="18"/>
                <w:szCs w:val="18"/>
              </w:rPr>
            </w:pPr>
            <w:r>
              <w:rPr>
                <w:rFonts w:hint="eastAsia" w:ascii="宋体" w:hAnsi="宋体" w:cs="宋体"/>
                <w:kern w:val="0"/>
                <w:sz w:val="18"/>
                <w:szCs w:val="18"/>
              </w:rPr>
              <w:t>5、房间管理：可根据房间使用性质，分别可创建学生公寓、公共空间、办公室、弱电间等房间模型。</w:t>
            </w:r>
            <w:r>
              <w:rPr>
                <w:rFonts w:hint="eastAsia" w:ascii="宋体" w:hAnsi="宋体" w:cs="宋体"/>
                <w:kern w:val="0"/>
                <w:sz w:val="18"/>
                <w:szCs w:val="18"/>
              </w:rPr>
              <w:br w:type="textWrapping"/>
            </w:r>
            <w:r>
              <w:rPr>
                <w:rFonts w:hint="eastAsia" w:ascii="宋体" w:hAnsi="宋体" w:cs="宋体"/>
                <w:kern w:val="0"/>
                <w:sz w:val="18"/>
                <w:szCs w:val="18"/>
              </w:rPr>
              <w:t>6、房源自定义设计：可在软件自定义选择目前楼层房间的房间能够和设计的房间实现快速绑定。楼层以及楼宇设计的能够拷贝和复制。</w:t>
            </w:r>
            <w:r>
              <w:rPr>
                <w:rFonts w:hint="eastAsia" w:ascii="宋体" w:hAnsi="宋体" w:cs="宋体"/>
                <w:kern w:val="0"/>
                <w:sz w:val="18"/>
                <w:szCs w:val="18"/>
              </w:rPr>
              <w:br w:type="textWrapping"/>
            </w:r>
            <w:r>
              <w:rPr>
                <w:rFonts w:hint="eastAsia" w:ascii="宋体" w:hAnsi="宋体" w:cs="宋体"/>
                <w:kern w:val="0"/>
                <w:sz w:val="18"/>
                <w:szCs w:val="18"/>
              </w:rPr>
              <w:t>7、用户管理：用户信息数据库包含学生基本信息、一卡通信息、隶属部门院系信息、人脸图像信息；支持对接本校学生公寓系统批量导入学生信息。</w:t>
            </w:r>
            <w:r>
              <w:rPr>
                <w:rFonts w:hint="eastAsia" w:ascii="宋体" w:hAnsi="宋体" w:cs="宋体"/>
                <w:kern w:val="0"/>
                <w:sz w:val="18"/>
                <w:szCs w:val="18"/>
              </w:rPr>
              <w:br w:type="textWrapping"/>
            </w:r>
            <w:r>
              <w:rPr>
                <w:rFonts w:hint="eastAsia" w:ascii="宋体" w:hAnsi="宋体" w:cs="宋体"/>
                <w:kern w:val="0"/>
                <w:sz w:val="18"/>
                <w:szCs w:val="18"/>
              </w:rPr>
              <w:t>8、操作员分级管理：支持操作员分级分权限管理，各操作员可设置不同的密码，系统的操作员可以分为多个级别。级别低的操作员只能对信息进行监视，而级别最高的操作员可以对系统内的任何权限进行修改。</w:t>
            </w:r>
            <w:r>
              <w:rPr>
                <w:rFonts w:hint="eastAsia" w:ascii="宋体" w:hAnsi="宋体" w:cs="宋体"/>
                <w:kern w:val="0"/>
                <w:sz w:val="18"/>
                <w:szCs w:val="18"/>
              </w:rPr>
              <w:br w:type="textWrapping"/>
            </w:r>
            <w:r>
              <w:rPr>
                <w:rFonts w:hint="eastAsia" w:ascii="宋体" w:hAnsi="宋体" w:cs="宋体"/>
                <w:kern w:val="0"/>
                <w:sz w:val="18"/>
                <w:szCs w:val="18"/>
              </w:rPr>
              <w:t>9、门锁电量告警：电池出现低电压即告警，后台提示管理人员。</w:t>
            </w:r>
            <w:r>
              <w:rPr>
                <w:rFonts w:hint="eastAsia" w:ascii="宋体" w:hAnsi="宋体" w:cs="宋体"/>
                <w:kern w:val="0"/>
                <w:sz w:val="18"/>
                <w:szCs w:val="18"/>
              </w:rPr>
              <w:br w:type="textWrapping"/>
            </w:r>
            <w:r>
              <w:rPr>
                <w:rFonts w:hint="eastAsia" w:ascii="宋体" w:hAnsi="宋体" w:cs="宋体"/>
                <w:kern w:val="0"/>
                <w:sz w:val="18"/>
                <w:szCs w:val="18"/>
              </w:rPr>
              <w:t xml:space="preserve">10、门锁状态实时监控功能：可在管理系统软件自定义选择目前本楼全部宿舍的平面结构智能锁状态作界面，能反映各宿舍智能门锁正常和异常情况、电池电量；点击实时反映宿锁具体状态，并可查询历史开锁数据。                                                     </w:t>
            </w:r>
            <w:r>
              <w:rPr>
                <w:rFonts w:hint="eastAsia" w:ascii="宋体" w:hAnsi="宋体" w:cs="宋体"/>
                <w:kern w:val="0"/>
                <w:sz w:val="18"/>
                <w:szCs w:val="18"/>
              </w:rPr>
              <w:br w:type="textWrapping"/>
            </w:r>
            <w:r>
              <w:rPr>
                <w:rFonts w:hint="eastAsia" w:ascii="宋体" w:hAnsi="宋体" w:cs="宋体"/>
                <w:kern w:val="0"/>
                <w:sz w:val="18"/>
                <w:szCs w:val="18"/>
              </w:rPr>
              <w:t>11、提供产品技术参数证明文件：官网截屏证明或产品彩页并标明投标文件页码位置</w:t>
            </w:r>
          </w:p>
        </w:tc>
      </w:tr>
    </w:tbl>
    <w:p>
      <w:pPr>
        <w:pStyle w:val="3"/>
      </w:pPr>
      <w:bookmarkStart w:id="12" w:name="_Toc45607933"/>
      <w:r>
        <w:rPr>
          <w:rFonts w:hint="eastAsia"/>
        </w:rPr>
        <w:t>2.5 网络系统技术要求</w:t>
      </w:r>
      <w:bookmarkEnd w:id="12"/>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2.5.1建设目标</w:t>
      </w:r>
    </w:p>
    <w:p>
      <w:pPr>
        <w:spacing w:line="360" w:lineRule="auto"/>
        <w:ind w:firstLine="480" w:firstLineChars="200"/>
        <w:rPr>
          <w:rFonts w:cs="微软雅黑 Light" w:asciiTheme="minorEastAsia" w:hAnsiTheme="minorEastAsia"/>
          <w:bCs/>
          <w:sz w:val="24"/>
          <w:szCs w:val="24"/>
        </w:rPr>
      </w:pPr>
      <w:r>
        <w:rPr>
          <w:rFonts w:hint="eastAsia" w:asciiTheme="minorEastAsia" w:hAnsiTheme="minorEastAsia"/>
          <w:sz w:val="24"/>
          <w:szCs w:val="24"/>
        </w:rPr>
        <w:t>本次23号学生公寓楼网络建设，需要与原有的校园有线网络及无线管理平台兼容，实现无缝对接和无线无缝漫游。新增1台网络汇聚交换机，上行与原有校园网络核心交换进行互联，下行与公寓楼楼层接入交换机互联。新增12台无线主体，与校园原有无线网络控制主机互联、下行与学生宿舍内的无线分体AP互联，智能终端通过无线网络可访问数字化校园平台，进行教学资源授权访问。在学生公寓楼中，有线网络不可能做到每一个角落，而随着网络信息化的发展，势必要把网络延伸到公寓楼的每一个角落，比如宿舍内、公共走廊等，这些地方都采用无线网来完成，通过WLAN可以解决这些问题</w:t>
      </w:r>
      <w:r>
        <w:rPr>
          <w:rFonts w:asciiTheme="minorEastAsia" w:hAnsiTheme="minorEastAsia"/>
          <w:sz w:val="24"/>
          <w:szCs w:val="24"/>
        </w:rPr>
        <w:t>。</w:t>
      </w:r>
      <w:r>
        <w:rPr>
          <w:rFonts w:hint="eastAsia" w:cs="微软雅黑 Light" w:asciiTheme="minorEastAsia" w:hAnsiTheme="minorEastAsia"/>
          <w:bCs/>
          <w:sz w:val="24"/>
          <w:szCs w:val="24"/>
        </w:rPr>
        <w:t>满足南京信息工程大学5-10年信息化建设要求，与整个校园网络能够完好融入。</w:t>
      </w:r>
    </w:p>
    <w:p>
      <w:pPr>
        <w:ind w:firstLine="420" w:firstLineChars="200"/>
        <w:jc w:val="left"/>
        <w:rPr>
          <w:rFonts w:ascii="微软雅黑 Light" w:hAnsi="微软雅黑 Light" w:eastAsia="微软雅黑 Light" w:cs="微软雅黑 Light"/>
          <w:b/>
          <w:bCs/>
          <w:szCs w:val="21"/>
        </w:rPr>
      </w:pPr>
      <w:r>
        <w:rPr>
          <w:rFonts w:hint="eastAsia" w:ascii="微软雅黑 Light" w:hAnsi="微软雅黑 Light" w:eastAsia="微软雅黑 Light" w:cs="微软雅黑 Light"/>
          <w:b/>
          <w:bCs/>
          <w:szCs w:val="21"/>
        </w:rPr>
        <w:t>2.5.2主要设备功能、性能、配置要求</w:t>
      </w:r>
    </w:p>
    <w:p>
      <w:pPr>
        <w:ind w:firstLine="420" w:firstLineChars="200"/>
        <w:jc w:val="left"/>
        <w:rPr>
          <w:rFonts w:ascii="微软雅黑 Light" w:hAnsi="微软雅黑 Light" w:eastAsia="微软雅黑 Light" w:cs="微软雅黑 Light"/>
          <w:szCs w:val="21"/>
        </w:rPr>
      </w:pPr>
      <w:r>
        <w:rPr>
          <w:rFonts w:hint="eastAsia" w:ascii="微软雅黑 Light" w:hAnsi="微软雅黑 Light" w:eastAsia="微软雅黑 Light" w:cs="微软雅黑 Light"/>
          <w:szCs w:val="21"/>
        </w:rPr>
        <w:t>1、汇聚交换机</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ascii="宋体" w:hAnsi="宋体" w:cs="宋体"/>
                <w:sz w:val="20"/>
              </w:rPr>
              <w:t>实质性要求</w:t>
            </w:r>
          </w:p>
        </w:tc>
        <w:tc>
          <w:tcPr>
            <w:tcW w:w="3650" w:type="pct"/>
            <w:vAlign w:val="center"/>
          </w:tcPr>
          <w:p>
            <w:pPr>
              <w:rPr>
                <w:rFonts w:ascii="宋体" w:hAnsi="宋体"/>
                <w:sz w:val="20"/>
              </w:rPr>
            </w:pPr>
            <w:r>
              <w:rPr>
                <w:rFonts w:hint="eastAsia" w:ascii="宋体" w:hAnsi="宋体"/>
                <w:sz w:val="20"/>
              </w:rPr>
              <w:t>1. 交换容量≥590Gbps，包转发率≥250Mpps（以官网最小值为准），整机提供≥48个千兆以太网光口+4个万兆以太网光口，配置冗余热插拔电源、冗余热插拔风扇</w:t>
            </w:r>
          </w:p>
          <w:p>
            <w:pPr>
              <w:rPr>
                <w:rFonts w:ascii="宋体" w:hAnsi="宋体"/>
                <w:sz w:val="20"/>
              </w:rPr>
            </w:pPr>
            <w:r>
              <w:rPr>
                <w:rFonts w:hint="eastAsia" w:ascii="宋体" w:hAnsi="宋体"/>
                <w:sz w:val="20"/>
              </w:rPr>
              <w:t>2. 支持IPv4/IPv6静态路由、RIP、OSPF、策略路由，支持ARP防攻击</w:t>
            </w:r>
          </w:p>
          <w:p>
            <w:pPr>
              <w:rPr>
                <w:rFonts w:ascii="宋体" w:hAnsi="宋体"/>
                <w:sz w:val="20"/>
              </w:rPr>
            </w:pPr>
            <w:r>
              <w:rPr>
                <w:rFonts w:hint="eastAsia" w:ascii="宋体" w:hAnsi="宋体"/>
                <w:sz w:val="20"/>
              </w:rPr>
              <w:t>3. 支持无线控制功能，实现有线无线一体化管理（提供官方网站截图或权威第三方测试报告证明并标明投标文件页码位置）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132" w:hRule="atLeast"/>
        </w:trPr>
        <w:tc>
          <w:tcPr>
            <w:tcW w:w="411" w:type="pct"/>
            <w:vAlign w:val="center"/>
          </w:tcPr>
          <w:p>
            <w:pPr>
              <w:ind w:left="37"/>
              <w:jc w:val="center"/>
              <w:rPr>
                <w:rFonts w:ascii="宋体" w:hAnsi="宋体"/>
                <w:sz w:val="20"/>
              </w:rPr>
            </w:pPr>
            <w:r>
              <w:rPr>
                <w:rFonts w:ascii="宋体" w:hAnsi="宋体" w:cs="宋体"/>
                <w:sz w:val="20"/>
              </w:rPr>
              <w:t>2</w:t>
            </w:r>
          </w:p>
        </w:tc>
        <w:tc>
          <w:tcPr>
            <w:tcW w:w="939" w:type="pct"/>
            <w:vAlign w:val="center"/>
          </w:tcPr>
          <w:p>
            <w:pPr>
              <w:ind w:left="41"/>
              <w:jc w:val="center"/>
              <w:rPr>
                <w:rFonts w:ascii="宋体" w:hAnsi="宋体"/>
                <w:sz w:val="20"/>
              </w:rPr>
            </w:pPr>
            <w:r>
              <w:rPr>
                <w:rFonts w:ascii="宋体" w:hAnsi="宋体" w:cs="宋体"/>
                <w:sz w:val="20"/>
              </w:rPr>
              <w:t>非实质性要求</w:t>
            </w:r>
          </w:p>
        </w:tc>
        <w:tc>
          <w:tcPr>
            <w:tcW w:w="3650" w:type="pct"/>
            <w:vAlign w:val="center"/>
          </w:tcPr>
          <w:p>
            <w:pPr>
              <w:rPr>
                <w:rFonts w:ascii="宋体" w:hAnsi="宋体"/>
                <w:sz w:val="20"/>
              </w:rPr>
            </w:pPr>
            <w:r>
              <w:rPr>
                <w:rFonts w:hint="eastAsia" w:ascii="宋体" w:hAnsi="宋体"/>
                <w:sz w:val="20"/>
              </w:rPr>
              <w:t>1. 扩展槽位≥1个,最大可扩展40G端口≥2,可扩展万兆电口≥2（提供官方网站订购信息截图证明）</w:t>
            </w:r>
          </w:p>
          <w:p>
            <w:pPr>
              <w:rPr>
                <w:rFonts w:ascii="宋体" w:hAnsi="宋体"/>
                <w:sz w:val="20"/>
              </w:rPr>
            </w:pPr>
            <w:r>
              <w:rPr>
                <w:rFonts w:hint="eastAsia" w:ascii="宋体" w:hAnsi="宋体"/>
                <w:sz w:val="20"/>
              </w:rPr>
              <w:t>2. 支持并实配VXLAN网关功能，提供权威第三方测试报告证明</w:t>
            </w:r>
          </w:p>
          <w:p>
            <w:pPr>
              <w:rPr>
                <w:rFonts w:ascii="宋体" w:hAnsi="宋体"/>
                <w:sz w:val="20"/>
              </w:rPr>
            </w:pPr>
            <w:r>
              <w:rPr>
                <w:rFonts w:hint="eastAsia" w:ascii="宋体" w:hAnsi="宋体"/>
                <w:sz w:val="20"/>
              </w:rPr>
              <w:t>3. 提供RoHS测试认证证书、工信部入网证书</w:t>
            </w:r>
          </w:p>
          <w:p>
            <w:pPr>
              <w:rPr>
                <w:rFonts w:ascii="宋体" w:hAnsi="宋体"/>
                <w:sz w:val="20"/>
              </w:rPr>
            </w:pPr>
            <w:r>
              <w:rPr>
                <w:rFonts w:hint="eastAsia" w:ascii="宋体" w:hAnsi="宋体"/>
                <w:sz w:val="20"/>
              </w:rPr>
              <w:t>4. 实现ERPS功能，能够快速阻断环路，链路收敛时间≤50ms；支持RRPP，环网故障恢复时间不超过50ms</w:t>
            </w:r>
          </w:p>
          <w:p>
            <w:pPr>
              <w:rPr>
                <w:rFonts w:ascii="宋体" w:hAnsi="宋体"/>
                <w:sz w:val="20"/>
              </w:rPr>
            </w:pPr>
            <w:r>
              <w:rPr>
                <w:rFonts w:hint="eastAsia" w:ascii="宋体" w:hAnsi="宋体" w:eastAsia="宋体" w:cs="宋体"/>
                <w:color w:val="000000"/>
                <w:kern w:val="0"/>
                <w:sz w:val="20"/>
                <w:szCs w:val="20"/>
              </w:rPr>
              <w:t>5</w:t>
            </w:r>
            <w:r>
              <w:rPr>
                <w:rFonts w:hint="eastAsia" w:ascii="宋体" w:hAnsi="宋体"/>
                <w:sz w:val="20"/>
              </w:rPr>
              <w:t>. 支持NGFW防火墙插卡，一体化扩展IPS、防病毒、LB、上网行为管理等功能，该插卡要求内置在交换机扩展插槽中，非外置硬件设备支持（提供官方网站订购信息截图证明并标明投标文件页码位置）</w:t>
            </w:r>
          </w:p>
          <w:p>
            <w:pPr>
              <w:rPr>
                <w:rFonts w:ascii="宋体" w:hAnsi="宋体"/>
                <w:sz w:val="20"/>
              </w:rPr>
            </w:pPr>
            <w:r>
              <w:rPr>
                <w:rFonts w:hint="eastAsia" w:ascii="宋体" w:hAnsi="宋体"/>
                <w:sz w:val="20"/>
              </w:rPr>
              <w:t>6.提供产品技术参数证明文件：官网截屏证明或产品彩页并标明投标文件页码位置, 提供所投产品制造商质保函和授权书。</w:t>
            </w:r>
          </w:p>
        </w:tc>
      </w:tr>
    </w:tbl>
    <w:p>
      <w:pPr>
        <w:pageBreakBefore/>
        <w:ind w:firstLine="420" w:firstLineChars="200"/>
        <w:jc w:val="left"/>
        <w:rPr>
          <w:rFonts w:ascii="微软雅黑 Light" w:hAnsi="微软雅黑 Light" w:eastAsia="微软雅黑 Light" w:cs="微软雅黑 Light"/>
          <w:szCs w:val="21"/>
        </w:rPr>
      </w:pPr>
      <w:r>
        <w:rPr>
          <w:rFonts w:hint="eastAsia" w:ascii="微软雅黑 Light" w:hAnsi="微软雅黑 Light" w:eastAsia="微软雅黑 Light" w:cs="微软雅黑 Light"/>
          <w:szCs w:val="21"/>
        </w:rPr>
        <w:t>2、48口接入交换机</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ascii="宋体" w:hAnsi="宋体" w:cs="宋体"/>
                <w:sz w:val="20"/>
              </w:rPr>
              <w:t>实质性要求</w:t>
            </w:r>
          </w:p>
        </w:tc>
        <w:tc>
          <w:tcPr>
            <w:tcW w:w="3650" w:type="pct"/>
            <w:vAlign w:val="center"/>
          </w:tcPr>
          <w:p>
            <w:pPr>
              <w:rPr>
                <w:rFonts w:ascii="宋体" w:hAnsi="宋体"/>
                <w:sz w:val="20"/>
              </w:rPr>
            </w:pPr>
            <w:r>
              <w:rPr>
                <w:rFonts w:hint="eastAsia" w:ascii="宋体" w:hAnsi="宋体"/>
                <w:sz w:val="20"/>
              </w:rPr>
              <w:t>1. ≥48个10/100/1000Base-T以太网端口，≥4个1000Base-X SFP千兆以太网端口</w:t>
            </w:r>
          </w:p>
          <w:p>
            <w:pPr>
              <w:rPr>
                <w:rFonts w:ascii="宋体" w:hAnsi="宋体"/>
                <w:sz w:val="20"/>
              </w:rPr>
            </w:pPr>
            <w:r>
              <w:rPr>
                <w:rFonts w:hint="eastAsia" w:ascii="宋体" w:hAnsi="宋体"/>
                <w:sz w:val="20"/>
              </w:rPr>
              <w:t>2. 交换容量≥330Gbps，整机包转发率≥132Mpps</w:t>
            </w:r>
          </w:p>
          <w:p>
            <w:pPr>
              <w:rPr>
                <w:rFonts w:ascii="宋体" w:hAnsi="宋体"/>
                <w:sz w:val="20"/>
              </w:rPr>
            </w:pPr>
            <w:r>
              <w:rPr>
                <w:rFonts w:hint="eastAsia" w:ascii="宋体" w:hAnsi="宋体"/>
                <w:sz w:val="20"/>
              </w:rPr>
              <w:t>3. 支持基于端口的VLAN(4K个)，支持VLAN VPN（QinQ），支持Voice VLAN，支持协议VLAN，支持MAC VLAN，支持GVRP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132" w:hRule="atLeast"/>
        </w:trPr>
        <w:tc>
          <w:tcPr>
            <w:tcW w:w="411" w:type="pct"/>
            <w:vAlign w:val="center"/>
          </w:tcPr>
          <w:p>
            <w:pPr>
              <w:ind w:left="37"/>
              <w:jc w:val="center"/>
              <w:rPr>
                <w:rFonts w:ascii="宋体" w:hAnsi="宋体"/>
                <w:sz w:val="20"/>
              </w:rPr>
            </w:pPr>
            <w:r>
              <w:rPr>
                <w:rFonts w:ascii="宋体" w:hAnsi="宋体" w:cs="宋体"/>
                <w:sz w:val="20"/>
              </w:rPr>
              <w:t>2</w:t>
            </w:r>
          </w:p>
        </w:tc>
        <w:tc>
          <w:tcPr>
            <w:tcW w:w="939" w:type="pct"/>
            <w:vAlign w:val="center"/>
          </w:tcPr>
          <w:p>
            <w:pPr>
              <w:ind w:left="41"/>
              <w:jc w:val="center"/>
              <w:rPr>
                <w:rFonts w:ascii="宋体" w:hAnsi="宋体"/>
                <w:sz w:val="20"/>
              </w:rPr>
            </w:pPr>
            <w:r>
              <w:rPr>
                <w:rFonts w:ascii="宋体" w:hAnsi="宋体" w:cs="宋体"/>
                <w:sz w:val="20"/>
              </w:rPr>
              <w:t>非实质性要求</w:t>
            </w:r>
          </w:p>
        </w:tc>
        <w:tc>
          <w:tcPr>
            <w:tcW w:w="3650" w:type="pct"/>
            <w:vAlign w:val="center"/>
          </w:tcPr>
          <w:p>
            <w:pPr>
              <w:rPr>
                <w:rFonts w:ascii="宋体" w:hAnsi="宋体"/>
                <w:sz w:val="20"/>
              </w:rPr>
            </w:pPr>
            <w:r>
              <w:rPr>
                <w:rFonts w:hint="eastAsia" w:ascii="宋体" w:hAnsi="宋体"/>
                <w:sz w:val="20"/>
              </w:rPr>
              <w:t>1. 支持终端准入控制功能，配合后台系统可以将网络安全措施整合为一个联动的安全体系，提升网络对病毒、蠕虫等安全威胁的整体防御能力；提供官网截图证明</w:t>
            </w:r>
          </w:p>
          <w:p>
            <w:pPr>
              <w:rPr>
                <w:rFonts w:ascii="宋体" w:hAnsi="宋体"/>
                <w:sz w:val="20"/>
              </w:rPr>
            </w:pPr>
            <w:r>
              <w:rPr>
                <w:rFonts w:hint="eastAsia" w:ascii="宋体" w:hAnsi="宋体"/>
                <w:sz w:val="20"/>
              </w:rPr>
              <w:t>2. 支持DHCP client，支持DHCP Snooping，支持 DHCP Relay，支持DHCP Snooping trust，支持DHCP Snooping option 82</w:t>
            </w:r>
          </w:p>
          <w:p>
            <w:pPr>
              <w:rPr>
                <w:rFonts w:ascii="宋体" w:hAnsi="宋体"/>
                <w:sz w:val="20"/>
              </w:rPr>
            </w:pPr>
            <w:r>
              <w:rPr>
                <w:rFonts w:hint="eastAsia" w:ascii="宋体" w:hAnsi="宋体"/>
                <w:sz w:val="20"/>
              </w:rPr>
              <w:t>3. 支持STP/RSTP/MSTP，支持Smart Link，以上功能提供官网截图证明</w:t>
            </w:r>
          </w:p>
          <w:p>
            <w:pPr>
              <w:rPr>
                <w:rFonts w:ascii="宋体" w:hAnsi="宋体"/>
                <w:sz w:val="20"/>
              </w:rPr>
            </w:pPr>
            <w:r>
              <w:rPr>
                <w:rFonts w:hint="eastAsia" w:ascii="宋体" w:hAnsi="宋体"/>
                <w:sz w:val="20"/>
              </w:rPr>
              <w:t>4. 支持IPv4和IPv6的三层路由功能</w:t>
            </w:r>
          </w:p>
          <w:p>
            <w:pPr>
              <w:rPr>
                <w:rFonts w:ascii="宋体" w:hAnsi="宋体"/>
                <w:sz w:val="20"/>
              </w:rPr>
            </w:pPr>
            <w:r>
              <w:rPr>
                <w:rFonts w:hint="eastAsia" w:ascii="宋体" w:hAnsi="宋体"/>
                <w:sz w:val="20"/>
              </w:rPr>
              <w:t>5. 支持XModem/FTP/TFTP加载升级，支持命令行接口（CLI），Telnet，支持SNMPv1/v2/v3，WEB网管，支持IPv6 SNMP 和 IPv6 MIB</w:t>
            </w:r>
          </w:p>
          <w:p>
            <w:pPr>
              <w:rPr>
                <w:rFonts w:ascii="宋体" w:hAnsi="宋体"/>
                <w:sz w:val="20"/>
              </w:rPr>
            </w:pPr>
            <w:r>
              <w:rPr>
                <w:rFonts w:hint="eastAsia" w:ascii="宋体" w:hAnsi="宋体"/>
                <w:sz w:val="20"/>
              </w:rPr>
              <w:t>6.提供产品技术参数证明文件：官网截屏证明或产品彩页并标明投标文件页码位置, 提供所投产品制造商质保函和授权书。</w:t>
            </w:r>
          </w:p>
          <w:p>
            <w:pPr>
              <w:rPr>
                <w:rFonts w:ascii="宋体" w:hAnsi="宋体"/>
                <w:sz w:val="20"/>
              </w:rPr>
            </w:pPr>
            <w:r>
              <w:rPr>
                <w:rFonts w:hint="eastAsia" w:ascii="宋体" w:hAnsi="宋体"/>
                <w:sz w:val="20"/>
              </w:rPr>
              <w:t>7. 内置简易网管平台，无需额外配置网管软件，可实现整网拓扑可视化和统一运维管理</w:t>
            </w:r>
          </w:p>
        </w:tc>
      </w:tr>
    </w:tbl>
    <w:p>
      <w:pPr>
        <w:ind w:firstLine="420" w:firstLineChars="200"/>
        <w:jc w:val="left"/>
        <w:rPr>
          <w:rFonts w:ascii="微软雅黑 Light" w:hAnsi="微软雅黑 Light" w:eastAsia="微软雅黑 Light" w:cs="微软雅黑 Light"/>
          <w:szCs w:val="21"/>
        </w:rPr>
      </w:pPr>
    </w:p>
    <w:p>
      <w:pPr>
        <w:ind w:firstLine="420" w:firstLineChars="200"/>
        <w:jc w:val="left"/>
        <w:rPr>
          <w:rFonts w:ascii="微软雅黑 Light" w:hAnsi="微软雅黑 Light" w:eastAsia="微软雅黑 Light" w:cs="微软雅黑 Light"/>
          <w:szCs w:val="21"/>
        </w:rPr>
      </w:pPr>
      <w:r>
        <w:rPr>
          <w:rFonts w:hint="eastAsia" w:ascii="微软雅黑 Light" w:hAnsi="微软雅黑 Light" w:eastAsia="微软雅黑 Light" w:cs="微软雅黑 Light"/>
          <w:szCs w:val="21"/>
        </w:rPr>
        <w:t>3、分布式AP主体</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ascii="宋体" w:hAnsi="宋体" w:cs="宋体"/>
                <w:sz w:val="20"/>
              </w:rPr>
              <w:t>实质性要求</w:t>
            </w:r>
          </w:p>
        </w:tc>
        <w:tc>
          <w:tcPr>
            <w:tcW w:w="3650" w:type="pct"/>
            <w:vAlign w:val="center"/>
          </w:tcPr>
          <w:p>
            <w:pPr>
              <w:rPr>
                <w:rFonts w:ascii="宋体" w:hAnsi="宋体"/>
                <w:sz w:val="20"/>
              </w:rPr>
            </w:pPr>
            <w:r>
              <w:rPr>
                <w:rFonts w:hint="eastAsia" w:ascii="宋体" w:hAnsi="宋体"/>
                <w:sz w:val="20"/>
              </w:rPr>
              <w:t xml:space="preserve">1. 2个SFP+/SFP自协商端口，兼容千兆以太网口模块                                     </w:t>
            </w:r>
          </w:p>
          <w:p>
            <w:pPr>
              <w:rPr>
                <w:rFonts w:ascii="宋体" w:hAnsi="宋体"/>
                <w:sz w:val="20"/>
              </w:rPr>
            </w:pPr>
            <w:r>
              <w:rPr>
                <w:rFonts w:hint="eastAsia" w:ascii="宋体" w:hAnsi="宋体"/>
                <w:sz w:val="20"/>
              </w:rPr>
              <w:t>2. 24个千兆口，支持对分体AP供电</w:t>
            </w:r>
          </w:p>
          <w:p>
            <w:pPr>
              <w:rPr>
                <w:rFonts w:ascii="宋体" w:hAnsi="宋体"/>
                <w:sz w:val="20"/>
              </w:rPr>
            </w:pPr>
            <w:r>
              <w:rPr>
                <w:rFonts w:hint="eastAsia" w:ascii="宋体" w:hAnsi="宋体"/>
                <w:sz w:val="20"/>
              </w:rPr>
              <w:t>3. 为保障网络可用性和兼容性，无线主体、分体、高性能POE交换机、高密AP、无线管理授权为相同品牌。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132" w:hRule="atLeast"/>
        </w:trPr>
        <w:tc>
          <w:tcPr>
            <w:tcW w:w="411" w:type="pct"/>
            <w:vAlign w:val="center"/>
          </w:tcPr>
          <w:p>
            <w:pPr>
              <w:ind w:left="37"/>
              <w:jc w:val="center"/>
              <w:rPr>
                <w:rFonts w:ascii="宋体" w:hAnsi="宋体"/>
                <w:sz w:val="20"/>
              </w:rPr>
            </w:pPr>
            <w:r>
              <w:rPr>
                <w:rFonts w:ascii="宋体" w:hAnsi="宋体" w:cs="宋体"/>
                <w:sz w:val="20"/>
              </w:rPr>
              <w:t>2</w:t>
            </w:r>
          </w:p>
        </w:tc>
        <w:tc>
          <w:tcPr>
            <w:tcW w:w="939" w:type="pct"/>
            <w:vAlign w:val="center"/>
          </w:tcPr>
          <w:p>
            <w:pPr>
              <w:ind w:left="41"/>
              <w:jc w:val="center"/>
              <w:rPr>
                <w:rFonts w:ascii="宋体" w:hAnsi="宋体"/>
                <w:sz w:val="20"/>
              </w:rPr>
            </w:pPr>
            <w:r>
              <w:rPr>
                <w:rFonts w:ascii="宋体" w:hAnsi="宋体" w:cs="宋体"/>
                <w:sz w:val="20"/>
              </w:rPr>
              <w:t>非实质性要求</w:t>
            </w:r>
          </w:p>
        </w:tc>
        <w:tc>
          <w:tcPr>
            <w:tcW w:w="3650" w:type="pct"/>
            <w:vAlign w:val="center"/>
          </w:tcPr>
          <w:p>
            <w:pPr>
              <w:rPr>
                <w:rFonts w:ascii="宋体" w:hAnsi="宋体"/>
                <w:sz w:val="20"/>
              </w:rPr>
            </w:pPr>
            <w:r>
              <w:rPr>
                <w:rFonts w:hint="eastAsia" w:ascii="宋体" w:hAnsi="宋体"/>
                <w:sz w:val="20"/>
              </w:rPr>
              <w:t>1. ≥2管理端口或1个console口1个带外管理口</w:t>
            </w:r>
          </w:p>
          <w:p>
            <w:pPr>
              <w:rPr>
                <w:rFonts w:ascii="宋体" w:hAnsi="宋体"/>
                <w:sz w:val="20"/>
              </w:rPr>
            </w:pPr>
            <w:r>
              <w:rPr>
                <w:rFonts w:hint="eastAsia" w:ascii="宋体" w:hAnsi="宋体"/>
                <w:sz w:val="20"/>
              </w:rPr>
              <w:t>2. 要求提供所投设备进网许可证</w:t>
            </w:r>
          </w:p>
          <w:p>
            <w:pPr>
              <w:rPr>
                <w:rFonts w:ascii="宋体" w:hAnsi="宋体"/>
                <w:sz w:val="20"/>
              </w:rPr>
            </w:pPr>
            <w:r>
              <w:rPr>
                <w:rFonts w:hint="eastAsia" w:ascii="宋体" w:hAnsi="宋体"/>
                <w:sz w:val="20"/>
              </w:rPr>
              <w:t>3. 要求提供国家强制性产品认证证书</w:t>
            </w:r>
          </w:p>
          <w:p>
            <w:pPr>
              <w:rPr>
                <w:rFonts w:ascii="宋体" w:hAnsi="宋体"/>
                <w:sz w:val="20"/>
              </w:rPr>
            </w:pPr>
            <w:r>
              <w:rPr>
                <w:rFonts w:hint="eastAsia" w:ascii="宋体" w:hAnsi="宋体"/>
                <w:sz w:val="20"/>
              </w:rPr>
              <w:t>4. 可热插拔双电源设计</w:t>
            </w:r>
          </w:p>
          <w:p>
            <w:pPr>
              <w:rPr>
                <w:rFonts w:ascii="宋体" w:hAnsi="宋体"/>
                <w:sz w:val="20"/>
              </w:rPr>
            </w:pPr>
            <w:r>
              <w:rPr>
                <w:rFonts w:hint="eastAsia" w:ascii="宋体" w:hAnsi="宋体"/>
                <w:sz w:val="20"/>
              </w:rPr>
              <w:t>5. 下行口及上行千兆口支持物联网拓展，采用链式部署模式，单端口最多可串接10个物联网模块</w:t>
            </w:r>
          </w:p>
          <w:p>
            <w:pPr>
              <w:rPr>
                <w:rFonts w:ascii="宋体" w:hAnsi="宋体"/>
                <w:sz w:val="20"/>
              </w:rPr>
            </w:pPr>
            <w:r>
              <w:rPr>
                <w:rFonts w:hint="eastAsia" w:ascii="宋体" w:hAnsi="宋体"/>
                <w:sz w:val="20"/>
              </w:rPr>
              <w:t>6. 可扩展2端口GE板卡或2端口SFP+/SFP板卡，兼容千兆以太网口模块</w:t>
            </w:r>
          </w:p>
          <w:p>
            <w:pPr>
              <w:rPr>
                <w:rFonts w:ascii="宋体" w:hAnsi="宋体"/>
                <w:sz w:val="20"/>
              </w:rPr>
            </w:pPr>
            <w:r>
              <w:rPr>
                <w:rFonts w:hint="eastAsia" w:ascii="宋体" w:hAnsi="宋体"/>
                <w:sz w:val="20"/>
              </w:rPr>
              <w:t>7.提供产品技术参数证明文件：官网截屏证明或产品彩页并标明投标文件页码位置, 提供所投产品制造商质保函和授权书。</w:t>
            </w:r>
          </w:p>
        </w:tc>
      </w:tr>
    </w:tbl>
    <w:p>
      <w:pPr>
        <w:pageBreakBefore/>
        <w:ind w:firstLine="420" w:firstLineChars="200"/>
        <w:jc w:val="left"/>
        <w:rPr>
          <w:rFonts w:ascii="微软雅黑 Light" w:hAnsi="微软雅黑 Light" w:eastAsia="微软雅黑 Light" w:cs="微软雅黑 Light"/>
          <w:szCs w:val="21"/>
        </w:rPr>
      </w:pPr>
      <w:r>
        <w:rPr>
          <w:rFonts w:hint="eastAsia" w:ascii="微软雅黑 Light" w:hAnsi="微软雅黑 Light" w:eastAsia="微软雅黑 Light" w:cs="微软雅黑 Light"/>
          <w:szCs w:val="21"/>
        </w:rPr>
        <w:t>4、分布式AP分体</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ascii="宋体" w:hAnsi="宋体" w:cs="宋体"/>
                <w:sz w:val="20"/>
              </w:rPr>
              <w:t>实质性要求</w:t>
            </w:r>
          </w:p>
        </w:tc>
        <w:tc>
          <w:tcPr>
            <w:tcW w:w="3650" w:type="pct"/>
            <w:vAlign w:val="center"/>
          </w:tcPr>
          <w:p>
            <w:pPr>
              <w:rPr>
                <w:rFonts w:ascii="宋体" w:hAnsi="宋体"/>
                <w:sz w:val="20"/>
              </w:rPr>
            </w:pPr>
            <w:r>
              <w:rPr>
                <w:rFonts w:hint="eastAsia" w:ascii="宋体" w:hAnsi="宋体"/>
                <w:sz w:val="20"/>
              </w:rPr>
              <w:t>1. 采用整机四流设计，可同时工作在802.11a/b/g/n/ac/ac wave2模式</w:t>
            </w:r>
          </w:p>
          <w:p>
            <w:pPr>
              <w:rPr>
                <w:rFonts w:ascii="宋体" w:hAnsi="宋体"/>
                <w:sz w:val="20"/>
              </w:rPr>
            </w:pPr>
            <w:r>
              <w:rPr>
                <w:rFonts w:hint="eastAsia" w:ascii="宋体" w:hAnsi="宋体"/>
                <w:sz w:val="20"/>
              </w:rPr>
              <w:t>2. 整机协商速率≥1317Mbps</w:t>
            </w:r>
          </w:p>
          <w:p>
            <w:pPr>
              <w:rPr>
                <w:rFonts w:ascii="宋体" w:hAnsi="宋体"/>
                <w:sz w:val="20"/>
              </w:rPr>
            </w:pPr>
            <w:r>
              <w:rPr>
                <w:rFonts w:hint="eastAsia" w:ascii="宋体" w:hAnsi="宋体"/>
                <w:sz w:val="20"/>
              </w:rPr>
              <w:t>3. ≥1个10/100/1000Mbps(RJ45)上行千兆接口；</w:t>
            </w:r>
          </w:p>
          <w:p>
            <w:pPr>
              <w:rPr>
                <w:rFonts w:ascii="宋体" w:hAnsi="宋体"/>
                <w:sz w:val="20"/>
              </w:rPr>
            </w:pPr>
            <w:r>
              <w:rPr>
                <w:rFonts w:hint="eastAsia" w:ascii="宋体" w:hAnsi="宋体"/>
                <w:sz w:val="20"/>
              </w:rPr>
              <w:t>≥2个10/100/1000Mbps(RJ45)下行千兆接口；支持RJ45 console口</w:t>
            </w:r>
          </w:p>
          <w:p>
            <w:pPr>
              <w:rPr>
                <w:rFonts w:ascii="宋体" w:hAnsi="宋体"/>
                <w:sz w:val="20"/>
              </w:rPr>
            </w:pPr>
            <w:r>
              <w:rPr>
                <w:rFonts w:hint="eastAsia" w:ascii="宋体" w:hAnsi="宋体"/>
                <w:sz w:val="20"/>
              </w:rPr>
              <w:t>4. 为保障网络可用性和兼容性，无线主体、分体、高性能POE交换机、高密AP、无线管理授权为相同品牌。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132" w:hRule="atLeast"/>
        </w:trPr>
        <w:tc>
          <w:tcPr>
            <w:tcW w:w="411" w:type="pct"/>
            <w:vAlign w:val="center"/>
          </w:tcPr>
          <w:p>
            <w:pPr>
              <w:ind w:left="37"/>
              <w:jc w:val="center"/>
              <w:rPr>
                <w:rFonts w:ascii="宋体" w:hAnsi="宋体"/>
                <w:sz w:val="20"/>
              </w:rPr>
            </w:pPr>
            <w:r>
              <w:rPr>
                <w:rFonts w:ascii="宋体" w:hAnsi="宋体" w:cs="宋体"/>
                <w:sz w:val="20"/>
              </w:rPr>
              <w:t>2</w:t>
            </w:r>
          </w:p>
        </w:tc>
        <w:tc>
          <w:tcPr>
            <w:tcW w:w="939" w:type="pct"/>
            <w:vAlign w:val="center"/>
          </w:tcPr>
          <w:p>
            <w:pPr>
              <w:ind w:left="41"/>
              <w:jc w:val="center"/>
              <w:rPr>
                <w:rFonts w:ascii="宋体" w:hAnsi="宋体"/>
                <w:sz w:val="20"/>
              </w:rPr>
            </w:pPr>
            <w:r>
              <w:rPr>
                <w:rFonts w:ascii="宋体" w:hAnsi="宋体" w:cs="宋体"/>
                <w:sz w:val="20"/>
              </w:rPr>
              <w:t>非实质性要求</w:t>
            </w:r>
          </w:p>
        </w:tc>
        <w:tc>
          <w:tcPr>
            <w:tcW w:w="3650" w:type="pct"/>
            <w:vAlign w:val="center"/>
          </w:tcPr>
          <w:p>
            <w:pPr>
              <w:rPr>
                <w:rFonts w:ascii="宋体" w:hAnsi="宋体"/>
                <w:sz w:val="20"/>
              </w:rPr>
            </w:pPr>
            <w:r>
              <w:rPr>
                <w:rFonts w:hint="eastAsia" w:ascii="宋体" w:hAnsi="宋体"/>
                <w:sz w:val="20"/>
              </w:rPr>
              <w:t>1. 要求投标产品2个单流终端接入情况下MU-MIMO性能不低于600Mbps</w:t>
            </w:r>
          </w:p>
          <w:p>
            <w:pPr>
              <w:rPr>
                <w:rFonts w:ascii="宋体" w:hAnsi="宋体"/>
                <w:sz w:val="20"/>
              </w:rPr>
            </w:pPr>
            <w:r>
              <w:rPr>
                <w:rFonts w:hint="eastAsia" w:ascii="宋体" w:hAnsi="宋体"/>
                <w:sz w:val="20"/>
              </w:rPr>
              <w:t>2. 要求投标产品为成熟产品，投标设备必须持有国家工信部型号核准证</w:t>
            </w:r>
          </w:p>
          <w:p>
            <w:pPr>
              <w:rPr>
                <w:rFonts w:ascii="宋体" w:hAnsi="宋体"/>
                <w:sz w:val="20"/>
              </w:rPr>
            </w:pPr>
            <w:r>
              <w:rPr>
                <w:rFonts w:hint="eastAsia" w:ascii="宋体" w:hAnsi="宋体"/>
                <w:sz w:val="20"/>
              </w:rPr>
              <w:t>3. 为保证终端互联互通有效性，投标投标厂家需提供投标产品WiFi联盟证书</w:t>
            </w:r>
          </w:p>
          <w:p>
            <w:pPr>
              <w:rPr>
                <w:rFonts w:ascii="宋体" w:hAnsi="宋体"/>
                <w:sz w:val="20"/>
              </w:rPr>
            </w:pPr>
            <w:r>
              <w:rPr>
                <w:rFonts w:hint="eastAsia" w:ascii="宋体" w:hAnsi="宋体"/>
                <w:sz w:val="20"/>
              </w:rPr>
              <w:t>4. 内置全向天线</w:t>
            </w:r>
          </w:p>
          <w:p>
            <w:pPr>
              <w:rPr>
                <w:rFonts w:ascii="宋体" w:hAnsi="宋体"/>
                <w:sz w:val="20"/>
              </w:rPr>
            </w:pPr>
            <w:r>
              <w:rPr>
                <w:rFonts w:hint="eastAsia" w:ascii="宋体" w:hAnsi="宋体"/>
                <w:sz w:val="20"/>
              </w:rPr>
              <w:t>5.提供产品技术参数证明文件：官网截屏证明或产品彩页并标明投标文件页码位置, 提供所投产品制造商质保函和授权书。</w:t>
            </w:r>
          </w:p>
        </w:tc>
      </w:tr>
    </w:tbl>
    <w:p>
      <w:pPr>
        <w:ind w:firstLine="420" w:firstLineChars="200"/>
        <w:jc w:val="left"/>
        <w:rPr>
          <w:rFonts w:ascii="微软雅黑 Light" w:hAnsi="微软雅黑 Light" w:eastAsia="微软雅黑 Light" w:cs="微软雅黑 Light"/>
          <w:szCs w:val="21"/>
        </w:rPr>
      </w:pPr>
    </w:p>
    <w:p>
      <w:pPr>
        <w:ind w:firstLine="420" w:firstLineChars="200"/>
        <w:jc w:val="left"/>
        <w:rPr>
          <w:rFonts w:ascii="微软雅黑 Light" w:hAnsi="微软雅黑 Light" w:eastAsia="微软雅黑 Light" w:cs="微软雅黑 Light"/>
          <w:szCs w:val="21"/>
        </w:rPr>
      </w:pPr>
      <w:r>
        <w:rPr>
          <w:rFonts w:hint="eastAsia" w:ascii="微软雅黑 Light" w:hAnsi="微软雅黑 Light" w:eastAsia="微软雅黑 Light" w:cs="微软雅黑 Light"/>
          <w:szCs w:val="21"/>
        </w:rPr>
        <w:t>5、</w:t>
      </w:r>
      <w:r>
        <w:rPr>
          <w:rFonts w:hint="eastAsia" w:ascii="微软雅黑 Light" w:hAnsi="宋体" w:eastAsia="微软雅黑 Light" w:cs="宋体"/>
          <w:sz w:val="20"/>
        </w:rPr>
        <w:t>高性能POE交换机</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ascii="宋体" w:hAnsi="宋体" w:cs="宋体"/>
                <w:sz w:val="20"/>
              </w:rPr>
              <w:t>实质性要求</w:t>
            </w:r>
          </w:p>
        </w:tc>
        <w:tc>
          <w:tcPr>
            <w:tcW w:w="3650" w:type="pct"/>
            <w:vAlign w:val="center"/>
          </w:tcPr>
          <w:p>
            <w:pPr>
              <w:rPr>
                <w:rFonts w:ascii="宋体" w:hAnsi="宋体"/>
                <w:sz w:val="20"/>
              </w:rPr>
            </w:pPr>
            <w:r>
              <w:rPr>
                <w:rFonts w:hint="eastAsia" w:ascii="宋体" w:hAnsi="宋体"/>
                <w:sz w:val="20"/>
              </w:rPr>
              <w:t>1. ≥24个10/100/1000Base-T以太网端口，≥4个1000Base-X SFP千兆以太网端口</w:t>
            </w:r>
          </w:p>
          <w:p>
            <w:pPr>
              <w:rPr>
                <w:rFonts w:ascii="宋体" w:hAnsi="宋体"/>
                <w:sz w:val="20"/>
              </w:rPr>
            </w:pPr>
            <w:r>
              <w:rPr>
                <w:rFonts w:hint="eastAsia" w:ascii="宋体" w:hAnsi="宋体"/>
                <w:sz w:val="20"/>
              </w:rPr>
              <w:t>2. 交换容量≥330Gbps，整机包转发率≥96Mpps</w:t>
            </w:r>
          </w:p>
          <w:p>
            <w:pPr>
              <w:rPr>
                <w:rFonts w:ascii="宋体" w:hAnsi="宋体"/>
                <w:sz w:val="20"/>
              </w:rPr>
            </w:pPr>
            <w:r>
              <w:rPr>
                <w:rFonts w:hint="eastAsia" w:ascii="宋体" w:hAnsi="宋体"/>
                <w:sz w:val="20"/>
              </w:rPr>
              <w:t>3. 支持POE+供电。整机供电功率不小于 370W（AC）</w:t>
            </w:r>
          </w:p>
          <w:p>
            <w:pPr>
              <w:rPr>
                <w:rFonts w:ascii="宋体" w:hAnsi="宋体"/>
                <w:sz w:val="20"/>
              </w:rPr>
            </w:pPr>
            <w:r>
              <w:rPr>
                <w:rFonts w:hint="eastAsia" w:ascii="宋体" w:hAnsi="宋体"/>
                <w:sz w:val="20"/>
              </w:rPr>
              <w:t>4. 支持IPv4和IPv6的三层路由功能</w:t>
            </w:r>
          </w:p>
          <w:p>
            <w:pPr>
              <w:rPr>
                <w:rFonts w:ascii="宋体" w:hAnsi="宋体"/>
                <w:sz w:val="20"/>
              </w:rPr>
            </w:pPr>
            <w:r>
              <w:rPr>
                <w:rFonts w:hint="eastAsia" w:ascii="宋体" w:hAnsi="宋体"/>
                <w:sz w:val="20"/>
              </w:rPr>
              <w:t>5. 为保障网络可用性和兼容性，无线主体、分体、高性能POE交换机、高密AP、无线管理授权为相同品牌。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132" w:hRule="atLeast"/>
        </w:trPr>
        <w:tc>
          <w:tcPr>
            <w:tcW w:w="411" w:type="pct"/>
            <w:vAlign w:val="center"/>
          </w:tcPr>
          <w:p>
            <w:pPr>
              <w:ind w:left="37"/>
              <w:jc w:val="center"/>
              <w:rPr>
                <w:rFonts w:ascii="宋体" w:hAnsi="宋体"/>
                <w:sz w:val="20"/>
              </w:rPr>
            </w:pPr>
            <w:r>
              <w:rPr>
                <w:rFonts w:ascii="宋体" w:hAnsi="宋体" w:cs="宋体"/>
                <w:sz w:val="20"/>
              </w:rPr>
              <w:t>2</w:t>
            </w:r>
          </w:p>
        </w:tc>
        <w:tc>
          <w:tcPr>
            <w:tcW w:w="939" w:type="pct"/>
            <w:vAlign w:val="center"/>
          </w:tcPr>
          <w:p>
            <w:pPr>
              <w:ind w:left="41"/>
              <w:jc w:val="center"/>
              <w:rPr>
                <w:rFonts w:ascii="宋体" w:hAnsi="宋体"/>
                <w:sz w:val="20"/>
              </w:rPr>
            </w:pPr>
            <w:r>
              <w:rPr>
                <w:rFonts w:hint="eastAsia" w:ascii="宋体" w:hAnsi="宋体" w:cs="宋体"/>
                <w:sz w:val="20"/>
              </w:rPr>
              <w:t>24口POE交换机</w:t>
            </w:r>
          </w:p>
        </w:tc>
        <w:tc>
          <w:tcPr>
            <w:tcW w:w="3650" w:type="pct"/>
            <w:vAlign w:val="center"/>
          </w:tcPr>
          <w:p>
            <w:pPr>
              <w:rPr>
                <w:rFonts w:ascii="宋体" w:hAnsi="宋体"/>
                <w:sz w:val="20"/>
              </w:rPr>
            </w:pPr>
            <w:r>
              <w:rPr>
                <w:rFonts w:hint="eastAsia" w:ascii="宋体" w:hAnsi="宋体"/>
                <w:sz w:val="20"/>
              </w:rPr>
              <w:t>1.支持终端准入控制功能，配合后台系统可以将网络安全措施整合为一个联动的安全体系，提升网络对病毒、蠕虫等安全威胁的整体防御能力；提供官网截图证明</w:t>
            </w:r>
          </w:p>
          <w:p>
            <w:pPr>
              <w:rPr>
                <w:rFonts w:ascii="宋体" w:hAnsi="宋体"/>
                <w:sz w:val="20"/>
              </w:rPr>
            </w:pPr>
            <w:r>
              <w:rPr>
                <w:rFonts w:hint="eastAsia" w:ascii="宋体" w:hAnsi="宋体"/>
                <w:sz w:val="20"/>
              </w:rPr>
              <w:t>2. 支持DHCP client，支持DHCP Snooping，支持 DHCP Relay，支持DHCP Snooping trust，支持DHCP Snooping option 82</w:t>
            </w:r>
          </w:p>
          <w:p>
            <w:pPr>
              <w:rPr>
                <w:rFonts w:ascii="宋体" w:hAnsi="宋体"/>
                <w:sz w:val="20"/>
              </w:rPr>
            </w:pPr>
            <w:r>
              <w:rPr>
                <w:rFonts w:hint="eastAsia" w:ascii="宋体" w:hAnsi="宋体"/>
                <w:sz w:val="20"/>
              </w:rPr>
              <w:t>3. 支持STP/RSTP/MSTP，支持Smart Link，以上功能提供官网截图证明</w:t>
            </w:r>
          </w:p>
          <w:p>
            <w:pPr>
              <w:rPr>
                <w:rFonts w:ascii="宋体" w:hAnsi="宋体"/>
                <w:sz w:val="20"/>
              </w:rPr>
            </w:pPr>
            <w:r>
              <w:rPr>
                <w:rFonts w:hint="eastAsia" w:ascii="宋体" w:hAnsi="宋体"/>
                <w:sz w:val="20"/>
              </w:rPr>
              <w:t>4. 内置简易网管平台，无需额外配置网管软件，可实现整网拓扑可视化和统一运维管理</w:t>
            </w:r>
          </w:p>
          <w:p>
            <w:pPr>
              <w:rPr>
                <w:rFonts w:ascii="宋体" w:hAnsi="宋体"/>
                <w:sz w:val="20"/>
              </w:rPr>
            </w:pPr>
            <w:r>
              <w:rPr>
                <w:rFonts w:hint="eastAsia" w:ascii="宋体" w:hAnsi="宋体"/>
                <w:sz w:val="20"/>
              </w:rPr>
              <w:t>5. 支持XModem/FTP/TFTP加载升级，支持命令行接口（CLI），Telnet，支持SNMPv1/v2/v3，WEB网管，支持IPv6 SNMP 和 IPv6 MIB</w:t>
            </w:r>
          </w:p>
          <w:p>
            <w:pPr>
              <w:rPr>
                <w:rFonts w:ascii="宋体" w:hAnsi="宋体"/>
                <w:sz w:val="20"/>
              </w:rPr>
            </w:pPr>
            <w:r>
              <w:rPr>
                <w:rFonts w:hint="eastAsia" w:ascii="宋体" w:hAnsi="宋体"/>
                <w:sz w:val="20"/>
              </w:rPr>
              <w:t>6.提供产品技术参数证明文件：官网截屏证明或产品彩页并标明投标文件页码位置, 提供所投产品制造商质保函和授权书。</w:t>
            </w:r>
          </w:p>
        </w:tc>
      </w:tr>
    </w:tbl>
    <w:p>
      <w:pPr>
        <w:ind w:firstLine="420" w:firstLineChars="200"/>
        <w:jc w:val="left"/>
        <w:rPr>
          <w:rFonts w:ascii="微软雅黑 Light" w:hAnsi="微软雅黑 Light" w:eastAsia="微软雅黑 Light" w:cs="微软雅黑 Light"/>
          <w:szCs w:val="21"/>
        </w:rPr>
      </w:pPr>
    </w:p>
    <w:p>
      <w:pPr>
        <w:ind w:firstLine="420" w:firstLineChars="200"/>
        <w:jc w:val="left"/>
        <w:rPr>
          <w:rFonts w:ascii="微软雅黑 Light" w:hAnsi="微软雅黑 Light" w:eastAsia="微软雅黑 Light" w:cs="微软雅黑 Light"/>
          <w:szCs w:val="21"/>
        </w:rPr>
      </w:pPr>
      <w:r>
        <w:rPr>
          <w:rFonts w:hint="eastAsia" w:ascii="微软雅黑 Light" w:hAnsi="微软雅黑 Light" w:eastAsia="微软雅黑 Light" w:cs="微软雅黑 Light"/>
          <w:szCs w:val="21"/>
        </w:rPr>
        <w:t>6、</w:t>
      </w:r>
      <w:r>
        <w:rPr>
          <w:rFonts w:hint="eastAsia" w:ascii="宋体" w:hAnsi="宋体" w:cs="宋体"/>
          <w:sz w:val="20"/>
        </w:rPr>
        <w:t>高密AP</w:t>
      </w:r>
    </w:p>
    <w:tbl>
      <w:tblPr>
        <w:tblStyle w:val="12"/>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64" w:type="dxa"/>
        </w:tblCellMar>
      </w:tblPr>
      <w:tblGrid>
        <w:gridCol w:w="686"/>
        <w:gridCol w:w="1569"/>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52" w:hRule="atLeast"/>
        </w:trPr>
        <w:tc>
          <w:tcPr>
            <w:tcW w:w="411" w:type="pct"/>
            <w:vAlign w:val="center"/>
          </w:tcPr>
          <w:p>
            <w:pPr>
              <w:jc w:val="center"/>
              <w:rPr>
                <w:rFonts w:ascii="宋体" w:hAnsi="宋体"/>
                <w:sz w:val="20"/>
              </w:rPr>
            </w:pPr>
            <w:r>
              <w:rPr>
                <w:rFonts w:ascii="宋体" w:hAnsi="宋体" w:cs="宋体"/>
                <w:sz w:val="20"/>
              </w:rPr>
              <w:t>序号</w:t>
            </w:r>
          </w:p>
        </w:tc>
        <w:tc>
          <w:tcPr>
            <w:tcW w:w="939" w:type="pct"/>
            <w:vAlign w:val="center"/>
          </w:tcPr>
          <w:p>
            <w:pPr>
              <w:ind w:left="41"/>
              <w:jc w:val="center"/>
              <w:rPr>
                <w:rFonts w:ascii="宋体" w:hAnsi="宋体"/>
                <w:sz w:val="20"/>
              </w:rPr>
            </w:pPr>
            <w:r>
              <w:rPr>
                <w:rFonts w:ascii="宋体" w:hAnsi="宋体" w:cs="宋体"/>
                <w:sz w:val="20"/>
              </w:rPr>
              <w:t>名称</w:t>
            </w:r>
          </w:p>
        </w:tc>
        <w:tc>
          <w:tcPr>
            <w:tcW w:w="3650" w:type="pct"/>
            <w:vAlign w:val="center"/>
          </w:tcPr>
          <w:p>
            <w:pPr>
              <w:jc w:val="center"/>
              <w:rPr>
                <w:rFonts w:ascii="宋体" w:hAnsi="宋体"/>
                <w:sz w:val="20"/>
              </w:rPr>
            </w:pPr>
            <w:r>
              <w:rPr>
                <w:rFonts w:ascii="宋体" w:hAnsi="宋体" w:cs="宋体"/>
                <w:sz w:val="20"/>
              </w:rPr>
              <w:t>功能、性能、配置要求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c>
          <w:tcPr>
            <w:tcW w:w="411" w:type="pct"/>
            <w:vAlign w:val="center"/>
          </w:tcPr>
          <w:p>
            <w:pPr>
              <w:ind w:left="37"/>
              <w:jc w:val="center"/>
              <w:rPr>
                <w:rFonts w:ascii="宋体" w:hAnsi="宋体"/>
                <w:sz w:val="20"/>
              </w:rPr>
            </w:pPr>
            <w:r>
              <w:rPr>
                <w:rFonts w:ascii="宋体" w:hAnsi="宋体" w:cs="宋体"/>
                <w:sz w:val="20"/>
              </w:rPr>
              <w:t>1</w:t>
            </w:r>
          </w:p>
        </w:tc>
        <w:tc>
          <w:tcPr>
            <w:tcW w:w="939" w:type="pct"/>
            <w:vAlign w:val="center"/>
          </w:tcPr>
          <w:p>
            <w:pPr>
              <w:jc w:val="center"/>
              <w:rPr>
                <w:rFonts w:ascii="宋体" w:hAnsi="宋体"/>
                <w:sz w:val="20"/>
              </w:rPr>
            </w:pPr>
            <w:r>
              <w:rPr>
                <w:rFonts w:ascii="宋体" w:hAnsi="宋体" w:cs="宋体"/>
                <w:sz w:val="20"/>
              </w:rPr>
              <w:t>实质性要求</w:t>
            </w:r>
          </w:p>
        </w:tc>
        <w:tc>
          <w:tcPr>
            <w:tcW w:w="3650" w:type="pct"/>
            <w:vAlign w:val="center"/>
          </w:tcPr>
          <w:p>
            <w:pPr>
              <w:rPr>
                <w:rFonts w:ascii="宋体" w:hAnsi="宋体"/>
                <w:sz w:val="20"/>
              </w:rPr>
            </w:pPr>
            <w:r>
              <w:rPr>
                <w:rFonts w:hint="eastAsia" w:ascii="宋体" w:hAnsi="宋体"/>
                <w:sz w:val="20"/>
              </w:rPr>
              <w:t>1. 采用整机八流设计，可同时工作在802.11a/b/g/n/ac/ac wave2模式</w:t>
            </w:r>
          </w:p>
          <w:p>
            <w:pPr>
              <w:rPr>
                <w:rFonts w:ascii="宋体" w:hAnsi="宋体"/>
                <w:sz w:val="20"/>
              </w:rPr>
            </w:pPr>
            <w:r>
              <w:rPr>
                <w:rFonts w:hint="eastAsia" w:ascii="宋体" w:hAnsi="宋体"/>
                <w:sz w:val="20"/>
              </w:rPr>
              <w:t>2. 整机协商速率≥3000Mbps</w:t>
            </w:r>
          </w:p>
          <w:p>
            <w:pPr>
              <w:rPr>
                <w:rFonts w:ascii="宋体" w:hAnsi="宋体"/>
                <w:sz w:val="20"/>
              </w:rPr>
            </w:pPr>
            <w:r>
              <w:rPr>
                <w:rFonts w:hint="eastAsia" w:ascii="宋体" w:hAnsi="宋体"/>
                <w:sz w:val="20"/>
              </w:rPr>
              <w:t>3. 提供≥2个10/100/1000Mbps(RJ45)，双网口可进行PoE冗余供电，提供权威第三方测试报告</w:t>
            </w:r>
          </w:p>
          <w:p>
            <w:pPr>
              <w:rPr>
                <w:rFonts w:ascii="宋体" w:hAnsi="宋体"/>
                <w:sz w:val="20"/>
              </w:rPr>
            </w:pPr>
            <w:r>
              <w:rPr>
                <w:rFonts w:hint="eastAsia" w:ascii="宋体" w:hAnsi="宋体"/>
                <w:sz w:val="20"/>
              </w:rPr>
              <w:t>4. 为保障网络可用性和兼容性，无线主体、分体、高性能POE交换机、高密AP、无线管理授权为相同品牌。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64" w:type="dxa"/>
          </w:tblCellMar>
        </w:tblPrEx>
        <w:trPr>
          <w:trHeight w:val="132" w:hRule="atLeast"/>
        </w:trPr>
        <w:tc>
          <w:tcPr>
            <w:tcW w:w="411" w:type="pct"/>
            <w:vAlign w:val="center"/>
          </w:tcPr>
          <w:p>
            <w:pPr>
              <w:ind w:left="37"/>
              <w:jc w:val="center"/>
              <w:rPr>
                <w:rFonts w:ascii="宋体" w:hAnsi="宋体"/>
                <w:sz w:val="20"/>
              </w:rPr>
            </w:pPr>
            <w:r>
              <w:rPr>
                <w:rFonts w:ascii="宋体" w:hAnsi="宋体" w:cs="宋体"/>
                <w:sz w:val="20"/>
              </w:rPr>
              <w:t>2</w:t>
            </w:r>
          </w:p>
        </w:tc>
        <w:tc>
          <w:tcPr>
            <w:tcW w:w="939" w:type="pct"/>
            <w:vAlign w:val="center"/>
          </w:tcPr>
          <w:p>
            <w:pPr>
              <w:ind w:left="41"/>
              <w:jc w:val="center"/>
              <w:rPr>
                <w:rFonts w:ascii="宋体" w:hAnsi="宋体"/>
                <w:sz w:val="20"/>
              </w:rPr>
            </w:pPr>
            <w:r>
              <w:rPr>
                <w:rFonts w:ascii="宋体" w:hAnsi="宋体" w:cs="宋体"/>
                <w:sz w:val="20"/>
              </w:rPr>
              <w:t>非实质性要求</w:t>
            </w:r>
          </w:p>
        </w:tc>
        <w:tc>
          <w:tcPr>
            <w:tcW w:w="3650" w:type="pct"/>
            <w:vAlign w:val="center"/>
          </w:tcPr>
          <w:p>
            <w:pPr>
              <w:rPr>
                <w:rFonts w:ascii="宋体" w:hAnsi="宋体"/>
                <w:sz w:val="20"/>
              </w:rPr>
            </w:pPr>
            <w:r>
              <w:rPr>
                <w:rFonts w:hint="eastAsia" w:ascii="宋体" w:hAnsi="宋体"/>
                <w:sz w:val="20"/>
              </w:rPr>
              <w:t>1. 内置蓝牙</w:t>
            </w:r>
          </w:p>
          <w:p>
            <w:pPr>
              <w:rPr>
                <w:rFonts w:ascii="宋体" w:hAnsi="宋体"/>
                <w:sz w:val="20"/>
              </w:rPr>
            </w:pPr>
            <w:r>
              <w:rPr>
                <w:rFonts w:hint="eastAsia" w:ascii="宋体" w:hAnsi="宋体"/>
                <w:sz w:val="20"/>
              </w:rPr>
              <w:t>2. 要求投标产品支持MU-MIMO特性</w:t>
            </w:r>
          </w:p>
          <w:p>
            <w:pPr>
              <w:rPr>
                <w:rFonts w:ascii="宋体" w:hAnsi="宋体"/>
                <w:sz w:val="20"/>
              </w:rPr>
            </w:pPr>
            <w:r>
              <w:rPr>
                <w:rFonts w:hint="eastAsia" w:ascii="宋体" w:hAnsi="宋体"/>
                <w:sz w:val="20"/>
              </w:rPr>
              <w:t>3. 内置全向天线</w:t>
            </w:r>
          </w:p>
          <w:p>
            <w:pPr>
              <w:rPr>
                <w:rFonts w:ascii="宋体" w:hAnsi="宋体"/>
                <w:sz w:val="20"/>
              </w:rPr>
            </w:pPr>
            <w:r>
              <w:rPr>
                <w:rFonts w:hint="eastAsia" w:ascii="宋体" w:hAnsi="宋体"/>
                <w:sz w:val="20"/>
              </w:rPr>
              <w:t>4. 要求投标产品为成熟产品，投标设备必须持有国家工信部型号核准证</w:t>
            </w:r>
          </w:p>
          <w:p>
            <w:pPr>
              <w:rPr>
                <w:rFonts w:ascii="宋体" w:hAnsi="宋体"/>
                <w:sz w:val="20"/>
              </w:rPr>
            </w:pPr>
            <w:r>
              <w:rPr>
                <w:rFonts w:hint="eastAsia" w:ascii="宋体" w:hAnsi="宋体"/>
                <w:sz w:val="20"/>
              </w:rPr>
              <w:t>5. 为保证终端互联互通有效性，投标投标厂家需提供投标产品WiFi联盟证书</w:t>
            </w:r>
          </w:p>
          <w:p>
            <w:pPr>
              <w:rPr>
                <w:rFonts w:ascii="宋体" w:hAnsi="宋体"/>
                <w:sz w:val="20"/>
              </w:rPr>
            </w:pPr>
            <w:r>
              <w:rPr>
                <w:rFonts w:hint="eastAsia" w:ascii="宋体" w:hAnsi="宋体"/>
                <w:sz w:val="20"/>
              </w:rPr>
              <w:t>6.提供产品技术参数证明文件：官网截屏证明或产品彩页并标明投标文件页码位置, 提供所投产品制造商质保函和授权书。</w:t>
            </w:r>
          </w:p>
          <w:p>
            <w:pPr>
              <w:rPr>
                <w:rFonts w:ascii="宋体" w:hAnsi="宋体"/>
                <w:sz w:val="20"/>
              </w:rPr>
            </w:pPr>
            <w:r>
              <w:rPr>
                <w:rFonts w:hint="eastAsia" w:ascii="宋体" w:hAnsi="宋体"/>
                <w:sz w:val="20"/>
              </w:rPr>
              <w:t>7. 为了在宿舍区提供更多的频谱资源，满足用户的使用需求，要求投标产品提供三个射频模块设计</w:t>
            </w:r>
          </w:p>
        </w:tc>
      </w:tr>
    </w:tbl>
    <w:p>
      <w:pPr>
        <w:ind w:firstLine="420" w:firstLineChars="200"/>
        <w:jc w:val="left"/>
        <w:rPr>
          <w:rFonts w:ascii="微软雅黑 Light" w:hAnsi="微软雅黑 Light" w:eastAsia="微软雅黑 Light" w:cs="微软雅黑 Light"/>
          <w:szCs w:val="21"/>
        </w:rPr>
      </w:pPr>
    </w:p>
    <w:p>
      <w:pPr>
        <w:pStyle w:val="3"/>
      </w:pPr>
      <w:bookmarkStart w:id="13" w:name="_Toc45607934"/>
      <w:r>
        <w:rPr>
          <w:rFonts w:hint="eastAsia"/>
        </w:rPr>
        <w:t>2.6技术要求重点说明</w:t>
      </w:r>
      <w:bookmarkEnd w:id="13"/>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本次项目要求完全兼容学校已建设的网络（有线和无线）、安防监控、门禁管理系统，若本项目不能达到要求，责任由投标方负责，学校不支付任何费用，而且要求投标方按项目报价的50%进行赔偿；学校有线网络采用扁平化架构，项目投标有线网络设备应支持QinQ功能；学校无线网络的无线控制器品牌为H3C，现已实现全校无缝漫游，项目无线网络完成建设加入校园网后应实现无缝漫游；所有弱电间独立供电，保证通风条件，对部分超长网线需进行特殊处理；有线和无线线路的敷设应相对独立进行，在弱电间配线架上有线和无线分别集中；学校监控中心为海康威视监控平台，新建监控系统需无缝对接；智能门禁（门锁）是通过对学生校园卡进行宿舍门禁授权，必须杜绝复制卡刷门锁的功能，智能门锁软硬件支持刷卡时验证校园卡ID号和SCHOOLDF文件等；校内使用管理部门和系统提供商需对一卡通对接数据保密，不得泄露和使用到其它项目。</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2.6.1 文件中网络部分有线设备（核心交换机、48口交换机）和无线设备可以不同一品牌，但无线设备的品牌需要实现与学校现有无线控制器等实现无缝对接、统一管理。</w:t>
      </w:r>
    </w:p>
    <w:p>
      <w:pPr>
        <w:spacing w:line="360" w:lineRule="auto"/>
        <w:ind w:firstLine="360" w:firstLineChars="150"/>
        <w:rPr>
          <w:sz w:val="28"/>
          <w:szCs w:val="28"/>
        </w:rPr>
      </w:pPr>
      <w:r>
        <w:rPr>
          <w:rFonts w:hint="eastAsia" w:asciiTheme="minorEastAsia" w:hAnsiTheme="minorEastAsia"/>
          <w:sz w:val="24"/>
          <w:szCs w:val="24"/>
        </w:rPr>
        <w:t>2.6.2</w:t>
      </w:r>
      <w:r>
        <w:rPr>
          <w:rFonts w:hint="eastAsia" w:ascii="宋体" w:hAnsi="宋体"/>
          <w:sz w:val="24"/>
          <w:szCs w:val="24"/>
        </w:rPr>
        <w:t>技术方案中“</w:t>
      </w:r>
      <w:r>
        <w:rPr>
          <w:rFonts w:ascii="宋体" w:hAnsi="宋体" w:cs="宋体"/>
          <w:sz w:val="24"/>
          <w:szCs w:val="24"/>
        </w:rPr>
        <w:t>功能、性能、配置要求</w:t>
      </w:r>
      <w:r>
        <w:rPr>
          <w:rFonts w:hint="eastAsia" w:ascii="宋体" w:hAnsi="宋体"/>
          <w:sz w:val="24"/>
          <w:szCs w:val="24"/>
        </w:rPr>
        <w:t>”</w:t>
      </w:r>
      <w:r>
        <w:rPr>
          <w:rFonts w:hint="eastAsia" w:ascii="宋体" w:hAnsi="宋体" w:cs="宋体"/>
          <w:sz w:val="24"/>
          <w:szCs w:val="24"/>
        </w:rPr>
        <w:t>项的</w:t>
      </w:r>
      <w:r>
        <w:rPr>
          <w:rFonts w:hint="eastAsia"/>
          <w:sz w:val="24"/>
          <w:szCs w:val="24"/>
        </w:rPr>
        <w:t>《实质性要求》为本项目建设中主要设备的核心参数，投标人必须完全满足或优于招标要求（在</w:t>
      </w:r>
      <w:r>
        <w:rPr>
          <w:rFonts w:hint="eastAsia" w:ascii="宋体" w:hAnsi="宋体"/>
          <w:sz w:val="24"/>
          <w:szCs w:val="24"/>
        </w:rPr>
        <w:t>技术响应情况偏离表中反映</w:t>
      </w:r>
      <w:r>
        <w:rPr>
          <w:rFonts w:hint="eastAsia"/>
          <w:sz w:val="24"/>
          <w:szCs w:val="24"/>
        </w:rPr>
        <w:t>），并提供加盖投标单位公章的相应证明文件（官方网站链接及截图或产品说明书彩色复印件），标明所在投标文件页码位置，否则作为废标处理。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2.6.3</w:t>
      </w:r>
      <w:r>
        <w:rPr>
          <w:rFonts w:hint="eastAsia" w:cs="宋体" w:asciiTheme="minorEastAsia" w:hAnsiTheme="minorEastAsia"/>
          <w:sz w:val="24"/>
          <w:szCs w:val="24"/>
        </w:rPr>
        <w:t>《非实质性要求》即为本项目建设中主要设备的基本参数和基本功能要求，是对所投产品综合性能的评估依据之一，投标单位应在技术偏离表中标注所投产品的基本功能及参数以及是否偏离</w:t>
      </w:r>
      <w:r>
        <w:rPr>
          <w:rFonts w:hint="eastAsia" w:cs="宋体" w:asciiTheme="minorEastAsia" w:hAnsiTheme="minorEastAsia"/>
          <w:kern w:val="0"/>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Arial">
    <w:panose1 w:val="020B0604020202020204"/>
    <w:charset w:val="00"/>
    <w:family w:val="swiss"/>
    <w:pitch w:val="default"/>
    <w:sig w:usb0="00007A87" w:usb1="80000000" w:usb2="00000008" w:usb3="00000000" w:csb0="400001FF" w:csb1="FFFF0000"/>
  </w:font>
  <w:font w:name="System">
    <w:altName w:val="宋体"/>
    <w:panose1 w:val="00000000000000000000"/>
    <w:charset w:val="86"/>
    <w:family w:val="auto"/>
    <w:pitch w:val="default"/>
    <w:sig w:usb0="00000000" w:usb1="00000000" w:usb2="00000010" w:usb3="00000000" w:csb0="00040000" w:csb1="00000000"/>
  </w:font>
  <w:font w:name="微软雅黑 Light">
    <w:altName w:val="微软雅黑"/>
    <w:panose1 w:val="00000000000000000000"/>
    <w:charset w:val="86"/>
    <w:family w:val="auto"/>
    <w:pitch w:val="default"/>
    <w:sig w:usb0="00000000" w:usb1="00000000" w:usb2="00000010" w:usb3="00000000" w:csb0="00040000" w:csb1="00000000"/>
  </w:font>
  <w:font w:name="等?">
    <w:altName w:val="MingLiU"/>
    <w:panose1 w:val="00000000000000000000"/>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80F3C52" w:usb2="00000016" w:usb3="00000000" w:csb0="0004001F" w:csb1="00000000"/>
  </w:font>
  <w:font w:name="MingLiU">
    <w:panose1 w:val="02020309000000000000"/>
    <w:charset w:val="88"/>
    <w:family w:val="auto"/>
    <w:pitch w:val="default"/>
    <w:sig w:usb0="00000003" w:usb1="082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1188C"/>
    <w:rsid w:val="0000157B"/>
    <w:rsid w:val="000609BE"/>
    <w:rsid w:val="000B1C06"/>
    <w:rsid w:val="000B2FE1"/>
    <w:rsid w:val="00125588"/>
    <w:rsid w:val="001326FE"/>
    <w:rsid w:val="00141A75"/>
    <w:rsid w:val="0014398D"/>
    <w:rsid w:val="0017600F"/>
    <w:rsid w:val="001A0105"/>
    <w:rsid w:val="001B77DF"/>
    <w:rsid w:val="001C48A7"/>
    <w:rsid w:val="001D20AC"/>
    <w:rsid w:val="001F2BF7"/>
    <w:rsid w:val="002348B8"/>
    <w:rsid w:val="00243978"/>
    <w:rsid w:val="00256D32"/>
    <w:rsid w:val="0026202A"/>
    <w:rsid w:val="00263536"/>
    <w:rsid w:val="00282784"/>
    <w:rsid w:val="002B0977"/>
    <w:rsid w:val="002B5901"/>
    <w:rsid w:val="002F045A"/>
    <w:rsid w:val="003022C2"/>
    <w:rsid w:val="0034447B"/>
    <w:rsid w:val="00374406"/>
    <w:rsid w:val="003754E3"/>
    <w:rsid w:val="003A6ADB"/>
    <w:rsid w:val="003B2C3A"/>
    <w:rsid w:val="003C7312"/>
    <w:rsid w:val="00412E86"/>
    <w:rsid w:val="00440537"/>
    <w:rsid w:val="00440ED6"/>
    <w:rsid w:val="00444E10"/>
    <w:rsid w:val="00497084"/>
    <w:rsid w:val="004D6ADE"/>
    <w:rsid w:val="00510962"/>
    <w:rsid w:val="0051188C"/>
    <w:rsid w:val="00541CCA"/>
    <w:rsid w:val="005747D9"/>
    <w:rsid w:val="00584665"/>
    <w:rsid w:val="005A620F"/>
    <w:rsid w:val="005C3B85"/>
    <w:rsid w:val="00625E9F"/>
    <w:rsid w:val="00632547"/>
    <w:rsid w:val="0064075D"/>
    <w:rsid w:val="00642AF3"/>
    <w:rsid w:val="00644F31"/>
    <w:rsid w:val="0065193F"/>
    <w:rsid w:val="006645AC"/>
    <w:rsid w:val="00684243"/>
    <w:rsid w:val="006C37FA"/>
    <w:rsid w:val="006D4C31"/>
    <w:rsid w:val="006F7BB2"/>
    <w:rsid w:val="00701D1C"/>
    <w:rsid w:val="007313F4"/>
    <w:rsid w:val="00744B6E"/>
    <w:rsid w:val="00744F1D"/>
    <w:rsid w:val="00752D55"/>
    <w:rsid w:val="007704F3"/>
    <w:rsid w:val="00774643"/>
    <w:rsid w:val="00785E03"/>
    <w:rsid w:val="007D091F"/>
    <w:rsid w:val="007F06D0"/>
    <w:rsid w:val="007F239F"/>
    <w:rsid w:val="00802563"/>
    <w:rsid w:val="00805276"/>
    <w:rsid w:val="00810D73"/>
    <w:rsid w:val="008C64D4"/>
    <w:rsid w:val="008D1129"/>
    <w:rsid w:val="008E7512"/>
    <w:rsid w:val="008F0D1E"/>
    <w:rsid w:val="00902246"/>
    <w:rsid w:val="00903C33"/>
    <w:rsid w:val="00905CCA"/>
    <w:rsid w:val="0092295A"/>
    <w:rsid w:val="00956DAD"/>
    <w:rsid w:val="009803F3"/>
    <w:rsid w:val="00994B98"/>
    <w:rsid w:val="009E475E"/>
    <w:rsid w:val="00A57203"/>
    <w:rsid w:val="00A64745"/>
    <w:rsid w:val="00A92460"/>
    <w:rsid w:val="00A96F69"/>
    <w:rsid w:val="00AA39AE"/>
    <w:rsid w:val="00AC4D67"/>
    <w:rsid w:val="00AD1601"/>
    <w:rsid w:val="00AD5D77"/>
    <w:rsid w:val="00B02CFC"/>
    <w:rsid w:val="00B0601C"/>
    <w:rsid w:val="00B121E6"/>
    <w:rsid w:val="00B15009"/>
    <w:rsid w:val="00B36E1A"/>
    <w:rsid w:val="00B43C30"/>
    <w:rsid w:val="00B90FEA"/>
    <w:rsid w:val="00B94349"/>
    <w:rsid w:val="00B9673C"/>
    <w:rsid w:val="00BB5A70"/>
    <w:rsid w:val="00BC1829"/>
    <w:rsid w:val="00BD0A01"/>
    <w:rsid w:val="00C30D85"/>
    <w:rsid w:val="00C640FF"/>
    <w:rsid w:val="00C73D3D"/>
    <w:rsid w:val="00C7432E"/>
    <w:rsid w:val="00C81E95"/>
    <w:rsid w:val="00CA3677"/>
    <w:rsid w:val="00CA6995"/>
    <w:rsid w:val="00CE10E7"/>
    <w:rsid w:val="00D23B5E"/>
    <w:rsid w:val="00D60172"/>
    <w:rsid w:val="00D60182"/>
    <w:rsid w:val="00D60D69"/>
    <w:rsid w:val="00D625D6"/>
    <w:rsid w:val="00D96D60"/>
    <w:rsid w:val="00DA0098"/>
    <w:rsid w:val="00DD6990"/>
    <w:rsid w:val="00DF0B2D"/>
    <w:rsid w:val="00E14C70"/>
    <w:rsid w:val="00E1750C"/>
    <w:rsid w:val="00E1770A"/>
    <w:rsid w:val="00E60B26"/>
    <w:rsid w:val="00ED6B82"/>
    <w:rsid w:val="00EE374E"/>
    <w:rsid w:val="00F05DB0"/>
    <w:rsid w:val="00F25D12"/>
    <w:rsid w:val="00FC0D3C"/>
    <w:rsid w:val="00FD27F8"/>
    <w:rsid w:val="00FD5CD6"/>
    <w:rsid w:val="3776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uiPriority w:val="39"/>
    <w:pPr>
      <w:ind w:left="840" w:leftChars="400"/>
    </w:pPr>
  </w:style>
  <w:style w:type="paragraph" w:styleId="6">
    <w:name w:val="Date"/>
    <w:basedOn w:val="1"/>
    <w:next w:val="1"/>
    <w:link w:val="25"/>
    <w:semiHidden/>
    <w:unhideWhenUsed/>
    <w:uiPriority w:val="99"/>
    <w:pPr>
      <w:ind w:left="100" w:leftChars="2500"/>
    </w:pPr>
  </w:style>
  <w:style w:type="paragraph" w:styleId="7">
    <w:name w:val="Balloon Text"/>
    <w:basedOn w:val="1"/>
    <w:link w:val="17"/>
    <w:semiHidden/>
    <w:unhideWhenUsed/>
    <w:uiPriority w:val="99"/>
    <w:rPr>
      <w:sz w:val="18"/>
      <w:szCs w:val="18"/>
    </w:rPr>
  </w:style>
  <w:style w:type="paragraph" w:styleId="8">
    <w:name w:val="footer"/>
    <w:basedOn w:val="1"/>
    <w:link w:val="16"/>
    <w:unhideWhenUsed/>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uiPriority w:val="39"/>
    <w:pPr>
      <w:tabs>
        <w:tab w:val="right" w:leader="dot" w:pos="8296"/>
      </w:tabs>
      <w:spacing w:line="600" w:lineRule="auto"/>
    </w:pPr>
  </w:style>
  <w:style w:type="paragraph" w:styleId="11">
    <w:name w:val="toc 2"/>
    <w:basedOn w:val="1"/>
    <w:next w:val="1"/>
    <w:unhideWhenUsed/>
    <w:uiPriority w:val="39"/>
    <w:pPr>
      <w:ind w:left="420" w:leftChars="200"/>
    </w:pPr>
  </w:style>
  <w:style w:type="character" w:styleId="14">
    <w:name w:val="Hyperlink"/>
    <w:basedOn w:val="13"/>
    <w:unhideWhenUsed/>
    <w:uiPriority w:val="99"/>
    <w:rPr>
      <w:color w:val="0000FF" w:themeColor="hyperlink"/>
      <w:u w:val="single"/>
    </w:rPr>
  </w:style>
  <w:style w:type="character" w:customStyle="1" w:styleId="15">
    <w:name w:val="页眉 Char"/>
    <w:basedOn w:val="13"/>
    <w:link w:val="9"/>
    <w:uiPriority w:val="99"/>
    <w:rPr>
      <w:sz w:val="18"/>
      <w:szCs w:val="18"/>
    </w:rPr>
  </w:style>
  <w:style w:type="character" w:customStyle="1" w:styleId="16">
    <w:name w:val="页脚 Char"/>
    <w:basedOn w:val="13"/>
    <w:link w:val="8"/>
    <w:uiPriority w:val="99"/>
    <w:rPr>
      <w:sz w:val="18"/>
      <w:szCs w:val="18"/>
    </w:rPr>
  </w:style>
  <w:style w:type="character" w:customStyle="1" w:styleId="17">
    <w:name w:val="批注框文本 Char"/>
    <w:basedOn w:val="13"/>
    <w:link w:val="7"/>
    <w:semiHidden/>
    <w:uiPriority w:val="99"/>
    <w:rPr>
      <w:sz w:val="18"/>
      <w:szCs w:val="18"/>
    </w:rPr>
  </w:style>
  <w:style w:type="character" w:customStyle="1" w:styleId="18">
    <w:name w:val="标题 1 Char"/>
    <w:basedOn w:val="13"/>
    <w:link w:val="2"/>
    <w:uiPriority w:val="9"/>
    <w:rPr>
      <w:b/>
      <w:bCs/>
      <w:kern w:val="44"/>
      <w:sz w:val="44"/>
      <w:szCs w:val="44"/>
    </w:rPr>
  </w:style>
  <w:style w:type="character" w:customStyle="1" w:styleId="19">
    <w:name w:val="标题 2 Char"/>
    <w:basedOn w:val="13"/>
    <w:link w:val="3"/>
    <w:uiPriority w:val="9"/>
    <w:rPr>
      <w:rFonts w:asciiTheme="majorHAnsi" w:hAnsiTheme="majorHAnsi" w:eastAsiaTheme="majorEastAsia" w:cstheme="majorBidi"/>
      <w:b/>
      <w:bCs/>
      <w:sz w:val="32"/>
      <w:szCs w:val="32"/>
    </w:rPr>
  </w:style>
  <w:style w:type="character" w:customStyle="1" w:styleId="20">
    <w:name w:val="标题 3 Char"/>
    <w:basedOn w:val="13"/>
    <w:link w:val="4"/>
    <w:uiPriority w:val="9"/>
    <w:rPr>
      <w:b/>
      <w:bCs/>
      <w:sz w:val="32"/>
      <w:szCs w:val="32"/>
    </w:rPr>
  </w:style>
  <w:style w:type="character" w:customStyle="1" w:styleId="21">
    <w:name w:val="font31"/>
    <w:basedOn w:val="13"/>
    <w:qFormat/>
    <w:uiPriority w:val="0"/>
    <w:rPr>
      <w:rFonts w:ascii="Courier New" w:hAnsi="Courier New" w:cs="Courier New"/>
      <w:color w:val="000000"/>
      <w:sz w:val="20"/>
      <w:szCs w:val="20"/>
      <w:u w:val="none"/>
    </w:rPr>
  </w:style>
  <w:style w:type="character" w:customStyle="1" w:styleId="22">
    <w:name w:val="font11"/>
    <w:basedOn w:val="13"/>
    <w:qFormat/>
    <w:uiPriority w:val="0"/>
    <w:rPr>
      <w:rFonts w:hint="eastAsia" w:ascii="宋体" w:hAnsi="宋体" w:eastAsia="宋体" w:cs="宋体"/>
      <w:color w:val="000000"/>
      <w:sz w:val="20"/>
      <w:szCs w:val="20"/>
      <w:u w:val="none"/>
    </w:rPr>
  </w:style>
  <w:style w:type="paragraph" w:styleId="23">
    <w:name w:val="List Paragraph"/>
    <w:basedOn w:val="1"/>
    <w:qFormat/>
    <w:uiPriority w:val="34"/>
    <w:pPr>
      <w:ind w:firstLine="420" w:firstLineChars="200"/>
    </w:pPr>
  </w:style>
  <w:style w:type="paragraph" w:customStyle="1" w:styleId="24">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5">
    <w:name w:val="日期 Char"/>
    <w:basedOn w:val="13"/>
    <w:link w:val="6"/>
    <w:semiHidden/>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DF659-64A4-4E1F-BE63-191CD177948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1662</Words>
  <Characters>9478</Characters>
  <Lines>78</Lines>
  <Paragraphs>22</Paragraphs>
  <TotalTime>12</TotalTime>
  <ScaleCrop>false</ScaleCrop>
  <LinksUpToDate>false</LinksUpToDate>
  <CharactersWithSpaces>11118</CharactersWithSpaces>
  <Application>WPS Office_11.1.0.9720_F1E327BC-269C-435d-A152-05C5408002CA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2020-07-15T07:58:00Z</dcterms:created>
  <dc:creator>PC</dc:creator>
  <cp:lastModifiedBy>Administrator</cp:lastModifiedBy>
  <dcterms:modified xsi:type="dcterms:W3CDTF">2020-07-15T22:57:41Z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2052-11.1.0.9720</vt:lpwstr>
  </property>
</Properties>
</file>